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A7922">
      <w:pPr>
        <w:pStyle w:val="24"/>
        <w:tabs>
          <w:tab w:val="right" w:pos="9639"/>
        </w:tabs>
        <w:rPr>
          <w:rFonts w:hint="default" w:ascii="Times New Roman" w:hAnsi="Times New Roman" w:eastAsia="Malgun Gothic" w:cs="Times New Roman"/>
          <w:bCs/>
          <w:i/>
          <w:sz w:val="32"/>
          <w:lang w:val="en-IN" w:eastAsia="ko-KR"/>
        </w:rPr>
      </w:pPr>
      <w:r>
        <w:rPr>
          <w:rFonts w:hint="default" w:ascii="Times New Roman" w:hAnsi="Times New Roman" w:cs="Times New Roman"/>
          <w:bCs/>
          <w:sz w:val="24"/>
          <w:lang w:val="en-GB" w:eastAsia="en-US"/>
        </w:rPr>
        <w:t>3GPP TSG-RAN WG3 #1</w:t>
      </w:r>
      <w:r>
        <w:rPr>
          <w:rFonts w:hint="default" w:ascii="Times New Roman" w:hAnsi="Times New Roman" w:cs="Times New Roman"/>
          <w:bCs/>
          <w:sz w:val="24"/>
          <w:lang w:val="en-IN" w:eastAsia="en-US"/>
        </w:rPr>
        <w:t>30</w:t>
      </w:r>
      <w:r>
        <w:rPr>
          <w:rFonts w:hint="default" w:ascii="Times New Roman" w:hAnsi="Times New Roman" w:eastAsia="Malgun Gothic" w:cs="Times New Roman"/>
          <w:bCs/>
          <w:sz w:val="24"/>
          <w:lang w:val="en-GB" w:eastAsia="ko-KR"/>
        </w:rPr>
        <w:t xml:space="preserve"> </w:t>
      </w:r>
      <w:r>
        <w:rPr>
          <w:rFonts w:hint="default" w:ascii="Times New Roman" w:hAnsi="Times New Roman" w:cs="Times New Roman"/>
          <w:bCs/>
          <w:sz w:val="24"/>
          <w:lang w:val="en-GB" w:eastAsia="en-US"/>
        </w:rPr>
        <w:tab/>
      </w:r>
      <w:r>
        <w:rPr>
          <w:rFonts w:hint="default" w:ascii="Times New Roman" w:hAnsi="Times New Roman" w:cs="Times New Roman"/>
          <w:bCs/>
          <w:sz w:val="24"/>
          <w:lang w:val="en-GB" w:eastAsia="en-US"/>
        </w:rPr>
        <w:t>R3-258144</w:t>
      </w:r>
    </w:p>
    <w:p w14:paraId="1F5E8735">
      <w:pPr>
        <w:pStyle w:val="24"/>
        <w:rPr>
          <w:rFonts w:hint="default" w:ascii="Times New Roman" w:hAnsi="Times New Roman" w:eastAsia="Malgun Gothic" w:cs="Times New Roman"/>
          <w:bCs/>
          <w:sz w:val="24"/>
          <w:lang w:val="en-GB" w:eastAsia="ko-KR"/>
        </w:rPr>
      </w:pPr>
      <w:r>
        <w:rPr>
          <w:rFonts w:hint="default" w:ascii="Times New Roman" w:hAnsi="Times New Roman" w:eastAsia="Malgun Gothic" w:cs="Times New Roman"/>
          <w:bCs/>
          <w:sz w:val="24"/>
          <w:lang w:val="en-IN" w:eastAsia="ko-KR"/>
        </w:rPr>
        <w:t>17</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 </w:t>
      </w:r>
      <w:r>
        <w:rPr>
          <w:rFonts w:hint="default" w:ascii="Times New Roman" w:hAnsi="Times New Roman" w:eastAsia="Malgun Gothic" w:cs="Times New Roman"/>
          <w:bCs/>
          <w:sz w:val="24"/>
          <w:lang w:val="en-IN" w:eastAsia="ko-KR"/>
        </w:rPr>
        <w:t>21</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w:t>
      </w:r>
      <w:r>
        <w:rPr>
          <w:rFonts w:hint="default" w:ascii="Times New Roman" w:hAnsi="Times New Roman" w:eastAsia="Malgun Gothic" w:cs="Times New Roman"/>
          <w:bCs/>
          <w:sz w:val="24"/>
          <w:lang w:val="en-IN" w:eastAsia="ko-KR"/>
        </w:rPr>
        <w:t xml:space="preserve">Nov </w:t>
      </w:r>
      <w:r>
        <w:rPr>
          <w:rFonts w:hint="default" w:ascii="Times New Roman" w:hAnsi="Times New Roman" w:eastAsia="Malgun Gothic" w:cs="Times New Roman"/>
          <w:bCs/>
          <w:sz w:val="24"/>
          <w:lang w:val="en-GB" w:eastAsia="ko-KR"/>
        </w:rPr>
        <w:t>2025</w:t>
      </w:r>
    </w:p>
    <w:p w14:paraId="430DF8C7">
      <w:pPr>
        <w:pStyle w:val="24"/>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Dallas</w:t>
      </w:r>
      <w:r>
        <w:rPr>
          <w:rFonts w:hint="default" w:ascii="Times New Roman" w:hAnsi="Times New Roman" w:eastAsia="Malgun Gothic" w:cs="Times New Roman"/>
          <w:bCs/>
          <w:sz w:val="24"/>
          <w:lang w:val="en-GB" w:eastAsia="ko-KR"/>
        </w:rPr>
        <w:t xml:space="preserve">, </w:t>
      </w:r>
      <w:r>
        <w:rPr>
          <w:rFonts w:hint="default" w:ascii="Times New Roman" w:hAnsi="Times New Roman" w:eastAsia="Malgun Gothic" w:cs="Times New Roman"/>
          <w:bCs/>
          <w:sz w:val="24"/>
          <w:lang w:val="en-IN" w:eastAsia="ko-KR"/>
        </w:rPr>
        <w:t>US</w:t>
      </w:r>
    </w:p>
    <w:p w14:paraId="4AA9720D">
      <w:pPr>
        <w:pStyle w:val="24"/>
        <w:rPr>
          <w:rFonts w:hint="default" w:ascii="Times New Roman" w:hAnsi="Times New Roman" w:cs="Times New Roman"/>
          <w:bCs/>
          <w:sz w:val="24"/>
          <w:lang w:val="en-GB" w:eastAsia="en-US"/>
        </w:rPr>
      </w:pPr>
    </w:p>
    <w:p w14:paraId="7E57D6C6">
      <w:pPr>
        <w:pStyle w:val="24"/>
        <w:rPr>
          <w:rFonts w:hint="default" w:ascii="Times New Roman" w:hAnsi="Times New Roman" w:cs="Times New Roman"/>
          <w:bCs/>
          <w:sz w:val="24"/>
          <w:lang w:val="en-GB" w:eastAsia="ja-JP"/>
        </w:rPr>
      </w:pPr>
    </w:p>
    <w:p w14:paraId="75A22D3A">
      <w:pPr>
        <w:pStyle w:val="88"/>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Agenda item:</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lang w:val="en-IN"/>
        </w:rPr>
        <w:t xml:space="preserve">  </w:t>
      </w:r>
      <w:r>
        <w:rPr>
          <w:rFonts w:hint="default" w:ascii="Times New Roman" w:hAnsi="Times New Roman" w:eastAsia="Malgun Gothic" w:cs="Times New Roman"/>
          <w:b/>
          <w:bCs/>
          <w:sz w:val="24"/>
          <w:lang w:eastAsia="ko-KR"/>
        </w:rPr>
        <w:t>1</w:t>
      </w:r>
      <w:r>
        <w:rPr>
          <w:rFonts w:hint="default" w:ascii="Times New Roman" w:hAnsi="Times New Roman" w:eastAsia="Malgun Gothic" w:cs="Times New Roman"/>
          <w:b/>
          <w:bCs/>
          <w:sz w:val="24"/>
          <w:lang w:val="en-IN" w:eastAsia="ko-KR"/>
        </w:rPr>
        <w:t>2.2.1</w:t>
      </w:r>
    </w:p>
    <w:p w14:paraId="6CF90453">
      <w:pPr>
        <w:tabs>
          <w:tab w:val="left" w:pos="1985"/>
        </w:tabs>
        <w:rPr>
          <w:rFonts w:hint="default" w:ascii="Times New Roman" w:hAnsi="Times New Roman" w:cs="Times New Roman"/>
          <w:b/>
          <w:bCs/>
          <w:sz w:val="24"/>
          <w:lang w:val="en-US"/>
        </w:rPr>
      </w:pPr>
      <w:r>
        <w:rPr>
          <w:rFonts w:hint="default" w:ascii="Times New Roman" w:hAnsi="Times New Roman" w:cs="Times New Roman"/>
          <w:b/>
          <w:bCs/>
          <w:sz w:val="24"/>
        </w:rPr>
        <w:t>Source:</w:t>
      </w:r>
      <w:r>
        <w:rPr>
          <w:rFonts w:hint="default" w:ascii="Times New Roman" w:hAnsi="Times New Roman" w:cs="Times New Roman"/>
          <w:b/>
          <w:bCs/>
          <w:sz w:val="24"/>
        </w:rPr>
        <w:tab/>
      </w:r>
      <w:r>
        <w:rPr>
          <w:rFonts w:hint="default" w:ascii="Times New Roman" w:hAnsi="Times New Roman" w:cs="Times New Roman"/>
          <w:b/>
          <w:bCs/>
          <w:sz w:val="24"/>
          <w:lang w:val="en-IN"/>
        </w:rPr>
        <w:t>Lekha Wireless Solutions</w:t>
      </w:r>
    </w:p>
    <w:p w14:paraId="2F3AC2B2">
      <w:pPr>
        <w:ind w:left="1985" w:hanging="1985"/>
        <w:rPr>
          <w:rFonts w:hint="default" w:ascii="Times New Roman" w:hAnsi="Times New Roman" w:eastAsia="Malgun Gothic" w:cs="Times New Roman"/>
          <w:b/>
          <w:bCs/>
          <w:color w:val="FF0000"/>
          <w:sz w:val="24"/>
          <w:lang w:eastAsia="ko-KR"/>
        </w:rPr>
      </w:pPr>
      <w:r>
        <w:rPr>
          <w:rFonts w:hint="default" w:ascii="Times New Roman" w:hAnsi="Times New Roman" w:cs="Times New Roman"/>
          <w:b/>
          <w:bCs/>
          <w:sz w:val="24"/>
        </w:rPr>
        <w:t>Title:</w:t>
      </w:r>
      <w:r>
        <w:rPr>
          <w:rFonts w:hint="default" w:ascii="Times New Roman" w:hAnsi="Times New Roman" w:cs="Times New Roman"/>
          <w:b/>
          <w:bCs/>
          <w:sz w:val="24"/>
        </w:rPr>
        <w:tab/>
      </w:r>
      <w:r>
        <w:rPr>
          <w:rFonts w:hint="default" w:eastAsia="Malgun Gothic" w:cs="Times New Roman"/>
          <w:b/>
          <w:bCs/>
          <w:sz w:val="24"/>
          <w:lang w:val="en-IN" w:eastAsia="ko-KR"/>
        </w:rPr>
        <w:t>Discussion</w:t>
      </w:r>
      <w:r>
        <w:rPr>
          <w:rFonts w:hint="default" w:ascii="Times New Roman" w:hAnsi="Times New Roman" w:eastAsia="Malgun Gothic" w:cs="Times New Roman"/>
          <w:b/>
          <w:bCs/>
          <w:sz w:val="24"/>
          <w:lang w:eastAsia="ko-KR"/>
        </w:rPr>
        <w:t xml:space="preserve"> on Multiple-hop UE trajectory</w:t>
      </w:r>
    </w:p>
    <w:p w14:paraId="5BBE25C7">
      <w:pPr>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Document for:</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rPr>
        <w:t>Discussion</w:t>
      </w:r>
      <w:r>
        <w:rPr>
          <w:rFonts w:hint="default" w:cs="Times New Roman"/>
          <w:b/>
          <w:bCs/>
          <w:sz w:val="24"/>
          <w:lang w:val="en-IN"/>
        </w:rPr>
        <w:t xml:space="preserve"> and Decision</w:t>
      </w:r>
    </w:p>
    <w:p w14:paraId="0BCBF926">
      <w:pPr>
        <w:pStyle w:val="2"/>
        <w:rPr>
          <w:rFonts w:hint="default" w:ascii="Times New Roman" w:hAnsi="Times New Roman" w:cs="Times New Roman"/>
          <w:lang w:eastAsia="zh-CN"/>
        </w:rPr>
      </w:pPr>
      <w:r>
        <w:rPr>
          <w:rFonts w:hint="default" w:ascii="Times New Roman" w:hAnsi="Times New Roman" w:cs="Times New Roman"/>
        </w:rPr>
        <w:t>1.</w:t>
      </w:r>
      <w:r>
        <w:rPr>
          <w:rFonts w:hint="default" w:ascii="Times New Roman" w:hAnsi="Times New Roman" w:cs="Times New Roman"/>
          <w:lang w:eastAsia="zh-CN"/>
        </w:rPr>
        <w:t xml:space="preserve"> </w:t>
      </w:r>
      <w:r>
        <w:rPr>
          <w:rFonts w:hint="default" w:ascii="Times New Roman" w:hAnsi="Times New Roman" w:cs="Times New Roman"/>
        </w:rPr>
        <w:t>Introduction</w:t>
      </w:r>
    </w:p>
    <w:p w14:paraId="2C404765">
      <w:pPr>
        <w:jc w:val="both"/>
        <w:rPr>
          <w:rFonts w:hint="default" w:ascii="Times New Roman" w:hAnsi="Times New Roman" w:eastAsia="Malgun Gothic" w:cs="Times New Roman"/>
          <w:lang w:eastAsia="ko-KR"/>
        </w:rPr>
      </w:pPr>
      <w:r>
        <w:rPr>
          <w:rFonts w:hint="default" w:ascii="Times New Roman" w:hAnsi="Times New Roman" w:eastAsia="SimSun" w:cs="Times New Roman"/>
          <w:lang w:val="en-US" w:eastAsia="zh-CN"/>
        </w:rPr>
        <w:t xml:space="preserve">In the RAN3#129bis meeting, discussions on </w:t>
      </w:r>
      <w:r>
        <w:rPr>
          <w:rFonts w:hint="default" w:cs="Times New Roman"/>
          <w:lang w:val="en-IN" w:eastAsia="zh-CN"/>
        </w:rPr>
        <w:t>Multi-hop UE trajectory</w:t>
      </w:r>
      <w:r>
        <w:rPr>
          <w:rFonts w:hint="default" w:ascii="Times New Roman" w:hAnsi="Times New Roman" w:eastAsia="SimSun" w:cs="Times New Roman"/>
          <w:lang w:val="en-US" w:eastAsia="zh-CN"/>
        </w:rPr>
        <w:t xml:space="preserve"> were initiated, and the agreements along with further discussion points are summarized in [1]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2203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47AE2A1D">
            <w:pPr>
              <w:widowControl w:val="0"/>
              <w:spacing w:line="276" w:lineRule="auto"/>
              <w:ind w:left="144" w:hanging="144"/>
              <w:rPr>
                <w:rFonts w:hint="default" w:cs="Calibri"/>
                <w:b/>
                <w:color w:val="008000"/>
                <w:lang w:val="en-IN" w:eastAsia="en-US"/>
              </w:rPr>
            </w:pPr>
            <w:r>
              <w:rPr>
                <w:rFonts w:hint="default" w:cs="Calibri"/>
                <w:b/>
                <w:color w:val="auto"/>
                <w:lang w:val="en-IN" w:eastAsia="en-US"/>
              </w:rPr>
              <w:t>Agreements:</w:t>
            </w:r>
            <w:r>
              <w:rPr>
                <w:rFonts w:hint="default" w:cs="Calibri"/>
                <w:b/>
                <w:color w:val="008000"/>
                <w:lang w:val="en-IN" w:eastAsia="en-US"/>
              </w:rPr>
              <w:t xml:space="preserve"> </w:t>
            </w:r>
          </w:p>
          <w:p w14:paraId="7D0E6BDC">
            <w:pPr>
              <w:widowControl w:val="0"/>
              <w:spacing w:line="276" w:lineRule="auto"/>
              <w:ind w:left="144" w:hanging="144"/>
              <w:rPr>
                <w:rFonts w:cs="Calibri"/>
                <w:b/>
                <w:color w:val="008000"/>
                <w:lang w:val="en-GB" w:eastAsia="en-US"/>
              </w:rPr>
            </w:pPr>
            <w:r>
              <w:rPr>
                <w:rFonts w:cs="Calibri"/>
                <w:b/>
                <w:color w:val="008000"/>
                <w:lang w:val="en-GB" w:eastAsia="en-US"/>
              </w:rPr>
              <w:t xml:space="preserve">Multi-hop predicted UE trajectory across gNBs consists of a list of cells belonging to one or more gNBs where the UE is expected to connect and these cells are listed in chronological order. </w:t>
            </w:r>
          </w:p>
          <w:p w14:paraId="17FB3778">
            <w:pPr>
              <w:widowControl w:val="0"/>
              <w:spacing w:line="276" w:lineRule="auto"/>
              <w:ind w:left="144" w:hanging="144"/>
              <w:rPr>
                <w:rFonts w:cs="Calibri"/>
                <w:b/>
                <w:color w:val="008000"/>
                <w:lang w:val="en-GB" w:eastAsia="en-US"/>
              </w:rPr>
            </w:pPr>
            <w:r>
              <w:rPr>
                <w:rFonts w:cs="Calibri"/>
                <w:b/>
                <w:color w:val="008000"/>
                <w:lang w:val="en-GB" w:eastAsia="en-US"/>
              </w:rPr>
              <w:t>The following solutions are considered for supporting multi-hop UE trajectory:</w:t>
            </w:r>
          </w:p>
          <w:p w14:paraId="0BDA3E69">
            <w:pPr>
              <w:widowControl w:val="0"/>
              <w:spacing w:line="276" w:lineRule="auto"/>
              <w:ind w:left="144" w:hanging="144"/>
              <w:rPr>
                <w:rFonts w:cs="Calibri"/>
                <w:b/>
                <w:color w:val="008000"/>
                <w:lang w:val="en-GB" w:eastAsia="en-US"/>
              </w:rPr>
            </w:pPr>
            <w:r>
              <w:rPr>
                <w:rFonts w:cs="Calibri"/>
                <w:b/>
                <w:color w:val="008000"/>
                <w:lang w:val="en-GB" w:eastAsia="en-US"/>
              </w:rPr>
              <w:t>-  AI/ML Model Training is located in the OAM and AI/ML Model Inference is located in the gNB.</w:t>
            </w:r>
          </w:p>
          <w:p w14:paraId="3A8F6F96">
            <w:pPr>
              <w:widowControl w:val="0"/>
              <w:spacing w:line="276" w:lineRule="auto"/>
              <w:ind w:left="144" w:hanging="144"/>
              <w:rPr>
                <w:rFonts w:cs="Calibri"/>
                <w:b/>
                <w:color w:val="008000"/>
                <w:lang w:val="en-GB" w:eastAsia="en-US"/>
              </w:rPr>
            </w:pPr>
            <w:r>
              <w:rPr>
                <w:rFonts w:cs="Calibri"/>
                <w:b/>
                <w:color w:val="008000"/>
                <w:lang w:val="en-GB" w:eastAsia="en-US"/>
              </w:rPr>
              <w:t>-  AI/ML Model Training and AI/ML Model Inference are both located in the gNB.</w:t>
            </w:r>
          </w:p>
          <w:p w14:paraId="7272105A">
            <w:pPr>
              <w:widowControl w:val="0"/>
              <w:spacing w:line="276" w:lineRule="auto"/>
              <w:ind w:left="144" w:hanging="144"/>
              <w:rPr>
                <w:rFonts w:cs="Calibri"/>
                <w:b/>
                <w:color w:val="008000"/>
                <w:lang w:val="en-GB" w:eastAsia="en-US"/>
              </w:rPr>
            </w:pPr>
            <w:r>
              <w:rPr>
                <w:rFonts w:cs="Calibri"/>
                <w:b/>
                <w:color w:val="008000"/>
                <w:lang w:val="en-GB" w:eastAsia="en-US"/>
              </w:rPr>
              <w:t>In case of CU-DU split architecture, the following solutions are possible:</w:t>
            </w:r>
          </w:p>
          <w:p w14:paraId="05C9F72A">
            <w:pPr>
              <w:widowControl w:val="0"/>
              <w:spacing w:line="276" w:lineRule="auto"/>
              <w:ind w:left="144" w:hanging="144"/>
              <w:rPr>
                <w:rFonts w:cs="Calibri"/>
                <w:b/>
                <w:color w:val="008000"/>
                <w:lang w:val="en-GB" w:eastAsia="en-US"/>
              </w:rPr>
            </w:pPr>
            <w:r>
              <w:rPr>
                <w:rFonts w:cs="Calibri"/>
                <w:b/>
                <w:color w:val="008000"/>
                <w:lang w:val="en-GB" w:eastAsia="en-US"/>
              </w:rPr>
              <w:t xml:space="preserve">-  AI/ML Model Training is located in the OAM and AI/ML Model Inference is located in the gNB-CU. </w:t>
            </w:r>
          </w:p>
          <w:p w14:paraId="0CD432F0">
            <w:pPr>
              <w:widowControl w:val="0"/>
              <w:spacing w:line="276" w:lineRule="auto"/>
              <w:ind w:left="144" w:hanging="144"/>
              <w:rPr>
                <w:rFonts w:cs="Calibri"/>
                <w:b/>
                <w:color w:val="008000"/>
                <w:lang w:val="en-GB" w:eastAsia="en-US"/>
              </w:rPr>
            </w:pPr>
            <w:r>
              <w:rPr>
                <w:rFonts w:cs="Calibri"/>
                <w:b/>
                <w:color w:val="008000"/>
                <w:lang w:val="en-GB" w:eastAsia="en-US"/>
              </w:rPr>
              <w:t>-  AI/ML Model Training and Model Inference are both located in the gNB-CU.</w:t>
            </w:r>
          </w:p>
          <w:p w14:paraId="16517088">
            <w:pPr>
              <w:widowControl w:val="0"/>
              <w:spacing w:line="276" w:lineRule="auto"/>
              <w:ind w:left="144" w:hanging="144"/>
              <w:rPr>
                <w:rFonts w:cs="Calibri"/>
                <w:b/>
                <w:color w:val="008000"/>
                <w:lang w:eastAsia="en-US"/>
              </w:rPr>
            </w:pPr>
            <w:r>
              <w:rPr>
                <w:rFonts w:cs="Calibri"/>
                <w:b/>
                <w:color w:val="008000"/>
                <w:lang w:eastAsia="en-US"/>
              </w:rPr>
              <w:t>Focus on cell-based granularity for measured and predicted multi-hop UE trajectory.</w:t>
            </w:r>
          </w:p>
          <w:p w14:paraId="726B280C">
            <w:pPr>
              <w:widowControl w:val="0"/>
              <w:spacing w:line="276" w:lineRule="auto"/>
              <w:ind w:left="144" w:hanging="144"/>
              <w:rPr>
                <w:rFonts w:cs="Calibri"/>
                <w:b/>
                <w:color w:val="008000"/>
                <w:lang w:eastAsia="en-US"/>
              </w:rPr>
            </w:pPr>
            <w:r>
              <w:rPr>
                <w:rFonts w:cs="Calibri"/>
                <w:b/>
                <w:color w:val="008000"/>
                <w:lang w:eastAsia="en-US"/>
              </w:rPr>
              <w:t>Study multi-hop UE trajectory for L3 HO.</w:t>
            </w:r>
          </w:p>
          <w:p w14:paraId="53144C4B">
            <w:pPr>
              <w:widowControl w:val="0"/>
              <w:spacing w:line="276" w:lineRule="auto"/>
              <w:ind w:left="144" w:hanging="144"/>
              <w:rPr>
                <w:rFonts w:cs="Calibri"/>
                <w:b/>
                <w:color w:val="008000"/>
                <w:lang w:val="en-GB" w:eastAsia="en-US"/>
              </w:rPr>
            </w:pPr>
            <w:r>
              <w:rPr>
                <w:rFonts w:cs="Calibri"/>
                <w:b/>
                <w:color w:val="008000"/>
                <w:lang w:val="en-GB" w:eastAsia="en-US"/>
              </w:rPr>
              <w:t>The delivery of the measured&amp;predicted cell-based multi-hop UE trajectory should not impact the core network.</w:t>
            </w:r>
          </w:p>
          <w:p w14:paraId="595CD939">
            <w:pPr>
              <w:widowControl w:val="0"/>
              <w:spacing w:line="276" w:lineRule="auto"/>
              <w:ind w:left="144" w:hanging="144"/>
              <w:rPr>
                <w:rFonts w:cs="Calibri"/>
                <w:b/>
                <w:color w:val="008000"/>
                <w:lang w:eastAsia="en-US"/>
              </w:rPr>
            </w:pPr>
            <w:r>
              <w:rPr>
                <w:rFonts w:cs="Calibri"/>
                <w:b/>
                <w:color w:val="008000"/>
                <w:lang w:val="en-GB" w:eastAsia="en-US"/>
              </w:rPr>
              <w:t>The request and reporting to support measured multi-hop UE trajectory between gNBs should utilize the Data Collection Reporting Initiation procedure and Data Collection Reporting procedure, at least for the first hop.</w:t>
            </w:r>
          </w:p>
          <w:p w14:paraId="7D6FE0CB">
            <w:pPr>
              <w:widowControl w:val="0"/>
              <w:spacing w:line="276" w:lineRule="auto"/>
              <w:ind w:left="144" w:hanging="144"/>
              <w:rPr>
                <w:rFonts w:hint="default" w:cs="Calibri"/>
                <w:b/>
                <w:bCs w:val="0"/>
                <w:color w:val="auto"/>
                <w:lang w:val="en-IN" w:eastAsia="en-US"/>
              </w:rPr>
            </w:pPr>
            <w:r>
              <w:rPr>
                <w:rFonts w:hint="default" w:cs="Calibri"/>
                <w:b/>
                <w:bCs w:val="0"/>
                <w:color w:val="auto"/>
                <w:lang w:val="en-IN" w:eastAsia="en-US"/>
              </w:rPr>
              <w:t>Discussion Points:</w:t>
            </w:r>
          </w:p>
          <w:p w14:paraId="514FE89B">
            <w:pPr>
              <w:widowControl w:val="0"/>
              <w:spacing w:line="276" w:lineRule="auto"/>
              <w:ind w:left="144" w:hanging="144"/>
              <w:rPr>
                <w:rFonts w:cs="Calibri"/>
                <w:b/>
                <w:color w:val="0000FF"/>
                <w:lang w:val="en-GB" w:eastAsia="en-US"/>
              </w:rPr>
            </w:pPr>
            <w:r>
              <w:rPr>
                <w:rFonts w:cs="Calibri"/>
                <w:b/>
                <w:color w:val="0000FF"/>
                <w:lang w:val="en-GB" w:eastAsia="en-US"/>
              </w:rPr>
              <w:t>Transfer the multi-hop UE trajectory prediction in UE associated or non-UE associated message?</w:t>
            </w:r>
          </w:p>
          <w:p w14:paraId="5D393198">
            <w:pPr>
              <w:widowControl w:val="0"/>
              <w:spacing w:line="276" w:lineRule="auto"/>
              <w:ind w:left="144" w:hanging="144"/>
              <w:rPr>
                <w:rFonts w:cs="Calibri"/>
                <w:b/>
                <w:color w:val="0000FF"/>
                <w:lang w:val="en-GB" w:eastAsia="en-US"/>
              </w:rPr>
            </w:pPr>
            <w:r>
              <w:rPr>
                <w:rFonts w:cs="Calibri"/>
                <w:b/>
                <w:color w:val="0000FF"/>
                <w:lang w:val="en-GB" w:eastAsia="en-US"/>
              </w:rPr>
              <w:t>Configuration of measurement feedback.</w:t>
            </w:r>
          </w:p>
          <w:p w14:paraId="4028616D">
            <w:pPr>
              <w:widowControl w:val="0"/>
              <w:spacing w:line="276" w:lineRule="auto"/>
              <w:ind w:left="144" w:hanging="144"/>
              <w:rPr>
                <w:rFonts w:cs="Calibri"/>
                <w:b/>
                <w:color w:val="0000FF"/>
                <w:lang w:val="en-GB" w:eastAsia="en-US"/>
              </w:rPr>
            </w:pPr>
            <w:r>
              <w:rPr>
                <w:rFonts w:cs="Calibri"/>
                <w:b/>
                <w:color w:val="0000FF"/>
                <w:lang w:val="en-GB" w:eastAsia="en-US"/>
              </w:rPr>
              <w:t>How to transfer measurement feedback:</w:t>
            </w:r>
          </w:p>
          <w:p w14:paraId="524F1030">
            <w:pPr>
              <w:widowControl w:val="0"/>
              <w:spacing w:line="276" w:lineRule="auto"/>
              <w:ind w:left="144" w:hanging="144"/>
              <w:rPr>
                <w:rFonts w:cs="Calibri"/>
                <w:b/>
                <w:color w:val="0000FF"/>
                <w:lang w:val="en-GB" w:eastAsia="en-US"/>
              </w:rPr>
            </w:pPr>
            <w:r>
              <w:rPr>
                <w:rFonts w:cs="Calibri"/>
                <w:b/>
                <w:color w:val="0000FF"/>
                <w:lang w:val="en-GB" w:eastAsia="en-US"/>
              </w:rPr>
              <w:t>•</w:t>
            </w:r>
            <w:r>
              <w:rPr>
                <w:rFonts w:cs="Calibri"/>
                <w:b/>
                <w:color w:val="0000FF"/>
                <w:lang w:val="en-GB" w:eastAsia="en-US"/>
              </w:rPr>
              <w:tab/>
            </w:r>
            <w:r>
              <w:rPr>
                <w:rFonts w:cs="Calibri"/>
                <w:b/>
                <w:color w:val="0000FF"/>
                <w:lang w:val="en-GB" w:eastAsia="en-US"/>
              </w:rPr>
              <w:t>Option1: Parallel transmission from each hop gNB to the initial source gNB (i.e., Node2 to Node1, Node3 to Node1)</w:t>
            </w:r>
          </w:p>
          <w:p w14:paraId="61231E41">
            <w:pPr>
              <w:widowControl w:val="0"/>
              <w:spacing w:line="276" w:lineRule="auto"/>
              <w:ind w:left="144" w:hanging="144"/>
              <w:rPr>
                <w:rFonts w:cs="Calibri"/>
                <w:b/>
                <w:color w:val="0000FF"/>
                <w:lang w:val="en-GB" w:eastAsia="en-US"/>
              </w:rPr>
            </w:pPr>
            <w:r>
              <w:rPr>
                <w:rFonts w:cs="Calibri"/>
                <w:b/>
                <w:color w:val="0000FF"/>
                <w:lang w:val="en-GB" w:eastAsia="en-US"/>
              </w:rPr>
              <w:t>•</w:t>
            </w:r>
            <w:r>
              <w:rPr>
                <w:rFonts w:cs="Calibri"/>
                <w:b/>
                <w:color w:val="0000FF"/>
                <w:lang w:val="en-GB" w:eastAsia="en-US"/>
              </w:rPr>
              <w:tab/>
            </w:r>
            <w:r>
              <w:rPr>
                <w:rFonts w:cs="Calibri"/>
                <w:b/>
                <w:color w:val="0000FF"/>
                <w:lang w:val="en-GB" w:eastAsia="en-US"/>
              </w:rPr>
              <w:t>Option2: Hop-by-hop transmission (i.e., Node3 to Node2, Node2 to Node1)</w:t>
            </w:r>
          </w:p>
          <w:p w14:paraId="5A605450">
            <w:pPr>
              <w:widowControl w:val="0"/>
              <w:spacing w:line="276" w:lineRule="auto"/>
              <w:ind w:left="144" w:hanging="144"/>
              <w:rPr>
                <w:rFonts w:cs="Calibri"/>
                <w:b/>
                <w:color w:val="0000FF"/>
                <w:lang w:val="en-GB" w:eastAsia="en-US"/>
              </w:rPr>
            </w:pPr>
            <w:r>
              <w:rPr>
                <w:rFonts w:cs="Calibri"/>
                <w:b/>
                <w:color w:val="0000FF"/>
                <w:lang w:val="en-GB" w:eastAsia="en-US"/>
              </w:rPr>
              <w:t>•</w:t>
            </w:r>
            <w:r>
              <w:rPr>
                <w:rFonts w:cs="Calibri"/>
                <w:b/>
                <w:color w:val="0000FF"/>
                <w:lang w:val="en-GB" w:eastAsia="en-US"/>
              </w:rPr>
              <w:tab/>
            </w:r>
            <w:r>
              <w:rPr>
                <w:rFonts w:cs="Calibri"/>
                <w:b/>
                <w:color w:val="0000FF"/>
                <w:lang w:val="en-GB" w:eastAsia="en-US"/>
              </w:rPr>
              <w:t>Option3: Final-hop to initial-hop transmission (i.e., Node2 to Node3, Node3 to Node1)</w:t>
            </w:r>
          </w:p>
          <w:p w14:paraId="4457CBA5">
            <w:pPr>
              <w:widowControl w:val="0"/>
              <w:spacing w:line="276" w:lineRule="auto"/>
              <w:ind w:left="144" w:hanging="144"/>
              <w:rPr>
                <w:rFonts w:hint="default" w:ascii="Times New Roman" w:hAnsi="Times New Roman" w:eastAsia="Malgun Gothic" w:cs="Times New Roman"/>
                <w:bCs/>
                <w:color w:val="0000FF"/>
                <w:sz w:val="18"/>
                <w:szCs w:val="24"/>
                <w:lang w:eastAsia="ko-KR"/>
              </w:rPr>
            </w:pPr>
            <w:r>
              <w:rPr>
                <w:rFonts w:cs="Calibri"/>
                <w:b/>
                <w:color w:val="0000FF"/>
                <w:lang w:val="en-GB" w:eastAsia="en-US"/>
              </w:rPr>
              <w:t>•</w:t>
            </w:r>
            <w:r>
              <w:rPr>
                <w:rFonts w:cs="Calibri"/>
                <w:b/>
                <w:color w:val="0000FF"/>
                <w:lang w:val="en-GB" w:eastAsia="en-US"/>
              </w:rPr>
              <w:tab/>
            </w:r>
            <w:r>
              <w:rPr>
                <w:rFonts w:cs="Calibri"/>
                <w:b/>
                <w:color w:val="0000FF"/>
                <w:lang w:val="en-GB" w:eastAsia="en-US"/>
              </w:rPr>
              <w:t>Option4: Measured UE trajectory transfer via AMF (i.e. Node3 to AMF, AMF to Node1).</w:t>
            </w:r>
          </w:p>
        </w:tc>
      </w:tr>
    </w:tbl>
    <w:p w14:paraId="13B68BD5">
      <w:pPr>
        <w:spacing w:before="180"/>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 xml:space="preserve">In this contribution, we would discuss on Multi-hop UE trajectory across gNBs </w:t>
      </w:r>
      <w:r>
        <w:rPr>
          <w:rFonts w:hint="default" w:ascii="Times New Roman" w:hAnsi="Times New Roman" w:eastAsia="SimSun" w:cs="Times New Roman"/>
          <w:lang w:val="en-US" w:eastAsia="zh-CN"/>
        </w:rPr>
        <w:t xml:space="preserve">and </w:t>
      </w:r>
      <w:r>
        <w:rPr>
          <w:rFonts w:hint="default" w:ascii="Times New Roman" w:hAnsi="Times New Roman" w:eastAsia="等线" w:cs="Times New Roman"/>
          <w:lang w:val="en-US" w:eastAsia="zh-CN"/>
        </w:rPr>
        <w:t>provide some proposals.</w:t>
      </w:r>
    </w:p>
    <w:p w14:paraId="6BF379C6">
      <w:pPr>
        <w:pStyle w:val="2"/>
        <w:rPr>
          <w:rFonts w:hint="default" w:ascii="Times New Roman" w:hAnsi="Times New Roman" w:eastAsia="Malgun Gothic" w:cs="Times New Roman"/>
          <w:lang w:eastAsia="ko-KR"/>
        </w:rPr>
      </w:pPr>
      <w:r>
        <w:rPr>
          <w:rFonts w:hint="default" w:ascii="Times New Roman" w:hAnsi="Times New Roman" w:cs="Times New Roman"/>
          <w:lang w:eastAsia="zh-CN"/>
        </w:rPr>
        <w:t xml:space="preserve">2. </w:t>
      </w:r>
      <w:r>
        <w:rPr>
          <w:rFonts w:hint="default" w:ascii="Times New Roman" w:hAnsi="Times New Roman" w:eastAsia="Malgun Gothic" w:cs="Times New Roman"/>
          <w:lang w:eastAsia="ko-KR"/>
        </w:rPr>
        <w:t>Discussion</w:t>
      </w:r>
    </w:p>
    <w:p w14:paraId="2BC048BB">
      <w:pPr>
        <w:pStyle w:val="3"/>
        <w:rPr>
          <w:rFonts w:hint="default" w:ascii="Times New Roman" w:hAnsi="Times New Roman" w:eastAsia="Malgun Gothic" w:cs="Times New Roman"/>
          <w:lang w:val="en-IN" w:eastAsia="ko-KR"/>
        </w:rPr>
      </w:pPr>
      <w:r>
        <w:rPr>
          <w:rFonts w:hint="default" w:ascii="Times New Roman" w:hAnsi="Times New Roman" w:eastAsia="Malgun Gothic" w:cs="Times New Roman"/>
          <w:lang w:eastAsia="ko-KR"/>
        </w:rPr>
        <w:t xml:space="preserve">2.1 </w:t>
      </w:r>
      <w:r>
        <w:rPr>
          <w:rFonts w:hint="default" w:ascii="Times New Roman" w:hAnsi="Times New Roman" w:eastAsia="Malgun Gothic" w:cs="Times New Roman"/>
          <w:lang w:val="en-IN" w:eastAsia="ko-KR"/>
        </w:rPr>
        <w:t>UE Associated and Non UE associated Trajectory Prediction</w:t>
      </w:r>
    </w:p>
    <w:p w14:paraId="04C46A8F">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55DB0A8B">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 xml:space="preserve"> Multi-hop UE trajectory prediction provides information that is both UE-specific (since it represents an individual UE’s future cell sequence) and network-wide (since multiple gNBs or CUs may use it for proactive coordination).</w:t>
      </w:r>
    </w:p>
    <w:p w14:paraId="5BE8043E">
      <w:pPr>
        <w:overflowPunct/>
        <w:autoSpaceDE/>
        <w:autoSpaceDN/>
        <w:adjustRightInd/>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 xml:space="preserve">The type of signaling message used (UE-associated or non-UE-associated) depends on:·  </w:t>
      </w:r>
    </w:p>
    <w:p w14:paraId="2976B734">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The scope and purpose of the prediction data (per-UE action vs. network planning),</w:t>
      </w:r>
    </w:p>
    <w:p w14:paraId="146C7071">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The location of inference (local gNB/CU vs. centralized OAM), and</w:t>
      </w:r>
    </w:p>
    <w:p w14:paraId="468DE925">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Latency and security requirements.</w:t>
      </w:r>
    </w:p>
    <w:p w14:paraId="077302EC">
      <w:pPr>
        <w:overflowPunct/>
        <w:autoSpaceDE/>
        <w:autoSpaceDN/>
        <w:adjustRightInd/>
        <w:ind w:firstLine="284" w:firstLineChars="0"/>
        <w:jc w:val="both"/>
        <w:textAlignment w:val="auto"/>
        <w:rPr>
          <w:rFonts w:hint="default" w:eastAsia="굴림"/>
          <w:b w:val="0"/>
          <w:bCs w:val="0"/>
          <w:color w:val="222222"/>
          <w:lang w:val="en-IN" w:eastAsia="ko-KR"/>
        </w:rPr>
      </w:pPr>
      <w:r>
        <w:rPr>
          <w:rFonts w:hint="default" w:ascii="Times New Roman" w:hAnsi="Times New Roman" w:eastAsia="굴림"/>
          <w:b w:val="0"/>
          <w:bCs w:val="0"/>
          <w:color w:val="222222"/>
          <w:lang w:val="en-GB" w:eastAsia="ko-KR"/>
        </w:rPr>
        <w:t>When the prediction is intended to directly support per-UE L3 handover execution, the data must remain closely associated with the UE’s RRC and mobility context to ensure timely and secure application.</w:t>
      </w:r>
      <w:r>
        <w:rPr>
          <w:rFonts w:hint="default" w:eastAsia="굴림"/>
          <w:b w:val="0"/>
          <w:bCs w:val="0"/>
          <w:color w:val="222222"/>
          <w:lang w:val="en-IN" w:eastAsia="ko-KR"/>
        </w:rPr>
        <w:t xml:space="preserve"> </w:t>
      </w:r>
      <w:r>
        <w:rPr>
          <w:rFonts w:hint="default" w:ascii="Times New Roman" w:hAnsi="Times New Roman" w:eastAsia="굴림"/>
          <w:b w:val="0"/>
          <w:bCs w:val="0"/>
          <w:color w:val="222222"/>
          <w:lang w:val="en-GB" w:eastAsia="ko-KR"/>
        </w:rPr>
        <w:t>When the prediction is intended to inform multiple nodes (e.g., neighbor CUs or OAM functions) or provide aggregated or statistical information about predicted UE movements, it is more efficient to use non-UE-associated signaling.</w:t>
      </w:r>
      <w:r>
        <w:rPr>
          <w:rFonts w:hint="default" w:eastAsia="굴림"/>
          <w:b w:val="0"/>
          <w:bCs w:val="0"/>
          <w:color w:val="222222"/>
          <w:lang w:val="en-IN" w:eastAsia="ko-KR"/>
        </w:rPr>
        <w:t xml:space="preserve"> </w:t>
      </w:r>
    </w:p>
    <w:p w14:paraId="1311CF45">
      <w:pPr>
        <w:overflowPunct/>
        <w:autoSpaceDE/>
        <w:autoSpaceDN/>
        <w:adjustRightInd/>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 xml:space="preserve">Inference location impacts latency and delivery path:·  </w:t>
      </w:r>
    </w:p>
    <w:p w14:paraId="0A3241ED">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If inference occurs at gNB or CU, predictions can be attached to per-UE control signaling.</w:t>
      </w:r>
    </w:p>
    <w:p w14:paraId="4ADDB31E">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If inference occurs at OAM, predictions may be distributed through non-UE-associated channels to multiple nodes.</w:t>
      </w:r>
    </w:p>
    <w:p w14:paraId="12834EB7">
      <w:pPr>
        <w:numPr>
          <w:ilvl w:val="0"/>
          <w:numId w:val="0"/>
        </w:numPr>
        <w:overflowPunct/>
        <w:autoSpaceDE/>
        <w:autoSpaceDN/>
        <w:adjustRightInd/>
        <w:jc w:val="both"/>
        <w:textAlignment w:val="auto"/>
        <w:rPr>
          <w:rFonts w:hint="default" w:ascii="Times New Roman" w:hAnsi="Times New Roman" w:eastAsia="굴림"/>
          <w:b/>
          <w:bCs/>
          <w:color w:val="222222"/>
          <w:lang w:val="en-IN" w:eastAsia="ko-KR"/>
        </w:rPr>
      </w:pPr>
      <w:r>
        <w:rPr>
          <w:rFonts w:hint="default" w:eastAsia="굴림"/>
          <w:b/>
          <w:bCs/>
          <w:color w:val="222222"/>
          <w:lang w:val="en-IN" w:eastAsia="ko-KR"/>
        </w:rPr>
        <w:t>Options:</w:t>
      </w:r>
    </w:p>
    <w:p w14:paraId="537C61D8">
      <w:pPr>
        <w:overflowPunct/>
        <w:autoSpaceDE/>
        <w:autoSpaceDN/>
        <w:adjustRightInd/>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bCs/>
          <w:color w:val="222222"/>
          <w:lang w:val="en-GB" w:eastAsia="ko-KR"/>
        </w:rPr>
        <w:t>UE-Associated Message Option</w:t>
      </w:r>
    </w:p>
    <w:p w14:paraId="7DF2D8BC">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When the predicted multi-hop UE trajectory is used to support L3 HO preparation or execution for a specific UE, it is proposed that the prediction information be transferred using UE-associated messages.</w:t>
      </w:r>
    </w:p>
    <w:p w14:paraId="5A96DAAD">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The UE-associated message may include:</w:t>
      </w:r>
    </w:p>
    <w:p w14:paraId="5F8585F4">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Predicted list of cells with timing order,</w:t>
      </w:r>
    </w:p>
    <w:p w14:paraId="7AF4C71E">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Predicted transition times or validity intervals,</w:t>
      </w:r>
    </w:p>
    <w:p w14:paraId="739D79EB">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Confidence values or probabilities for each hop, and</w:t>
      </w:r>
    </w:p>
    <w:p w14:paraId="01395CDC">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Model metadata (e.g., model ID, version, inference timestamp).</w:t>
      </w:r>
    </w:p>
    <w:p w14:paraId="57984110">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Such information can be conveyed within or alongside existing per-UE signaling procedures (e.g., UE CONTEXT MODIFICATION REQUEST/RESPONSE or a dedicated RRC container).</w:t>
      </w:r>
    </w:p>
    <w:p w14:paraId="5BCB667C">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Non-UE-Associated Message Option</w:t>
      </w:r>
    </w:p>
    <w:p w14:paraId="49758D9C">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 xml:space="preserve">  When the predicted multi-hop UE trajectories are aggregated, shared among multiple nodes, or used for network-level coordination, it is proposed that the prediction information be transferred using non-UE-associated messages.</w:t>
      </w:r>
    </w:p>
    <w:p w14:paraId="57BDB274">
      <w:pPr>
        <w:overflowPunct/>
        <w:autoSpaceDE/>
        <w:autoSpaceDN/>
        <w:adjustRightInd/>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The non-UE-associated message may carry:</w:t>
      </w:r>
    </w:p>
    <w:p w14:paraId="4F0702CA">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Predicted cell transition statistics or aggregated UE mobility patterns,</w:t>
      </w:r>
    </w:p>
    <w:p w14:paraId="779FC406">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Pre-computed cell–cell or gNB–gNB transition probabilities,</w:t>
      </w:r>
    </w:p>
    <w:p w14:paraId="3C2FCA29">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AI model updates, metadata, or region-level prediction data.</w:t>
      </w:r>
    </w:p>
    <w:p w14:paraId="709EC1EB">
      <w:pPr>
        <w:overflowPunct/>
        <w:autoSpaceDE/>
        <w:autoSpaceDN/>
        <w:adjustRightInd/>
        <w:ind w:firstLine="284" w:firstLineChars="0"/>
        <w:jc w:val="both"/>
        <w:textAlignment w:val="auto"/>
        <w:rPr>
          <w:rFonts w:hint="default" w:ascii="Times New Roman" w:hAnsi="Times New Roman" w:eastAsia="굴림"/>
          <w:b w:val="0"/>
          <w:bCs w:val="0"/>
          <w:color w:val="222222"/>
          <w:lang w:val="en-GB" w:eastAsia="ko-KR"/>
        </w:rPr>
      </w:pPr>
      <w:r>
        <w:rPr>
          <w:rFonts w:hint="default" w:ascii="Times New Roman" w:hAnsi="Times New Roman" w:eastAsia="굴림"/>
          <w:b w:val="0"/>
          <w:bCs w:val="0"/>
          <w:color w:val="222222"/>
          <w:lang w:val="en-GB" w:eastAsia="ko-KR"/>
        </w:rPr>
        <w:t>This information can be shared among gNBs, CUs, or OAM entities through existing O1/O2 or E2 interfaces, without binding it to any specific UE.</w:t>
      </w:r>
    </w:p>
    <w:p w14:paraId="41356210">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1: RAN3 should study both UE-associated and non-UE-associated transfer options for multi-hop UE trajectory prediction.</w:t>
      </w:r>
    </w:p>
    <w:p w14:paraId="76174A4D">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2: UE-associated messaging should be used when the prediction data is directly applied for per-UE L3 HO preparation or configuration, ensuring low latency and UE context binding.</w:t>
      </w:r>
    </w:p>
    <w:p w14:paraId="02D36ADE">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3: Non-UE-associated messaging should be used when the prediction data is shared across multiple nodes, used for aggregated network-level optimization, or originates from centralized OAM inference.</w:t>
      </w:r>
    </w:p>
    <w:p w14:paraId="2B84B219">
      <w:pPr>
        <w:pStyle w:val="3"/>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2.</w:t>
      </w:r>
      <w:r>
        <w:rPr>
          <w:rFonts w:hint="default" w:ascii="Times New Roman" w:hAnsi="Times New Roman" w:eastAsia="Malgun Gothic" w:cs="Times New Roman"/>
          <w:lang w:val="en-IN" w:eastAsia="ko-KR"/>
        </w:rPr>
        <w:t>2</w:t>
      </w:r>
      <w:r>
        <w:rPr>
          <w:rFonts w:hint="default" w:ascii="Times New Roman" w:hAnsi="Times New Roman" w:eastAsia="Malgun Gothic" w:cs="Times New Roman"/>
          <w:lang w:eastAsia="ko-KR"/>
        </w:rPr>
        <w:t xml:space="preserve"> </w:t>
      </w:r>
      <w:r>
        <w:rPr>
          <w:rFonts w:hint="default" w:ascii="Times New Roman" w:hAnsi="Times New Roman" w:eastAsia="Malgun Gothic"/>
          <w:lang w:eastAsia="ko-KR"/>
        </w:rPr>
        <w:t>Mechanisms for Multi-hop UE Trajectory Prediction Transfer</w:t>
      </w:r>
    </w:p>
    <w:p w14:paraId="24F471D2">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In Rel-1</w:t>
      </w:r>
      <w:r>
        <w:rPr>
          <w:rFonts w:hint="default" w:eastAsia="굴림" w:cs="Times New Roman"/>
          <w:color w:val="222222"/>
          <w:lang w:val="en-IN" w:eastAsia="ko-KR"/>
        </w:rPr>
        <w:t>8 the mechanism for single hop trajectory collection is mentioned as</w:t>
      </w:r>
      <w:r>
        <w:rPr>
          <w:rFonts w:hint="default" w:ascii="Times New Roman" w:hAnsi="Times New Roman" w:eastAsia="굴림" w:cs="Times New Roman"/>
          <w:color w:val="222222"/>
          <w:lang w:val="en-GB" w:eastAsia="ko-KR"/>
        </w:rPr>
        <w:t>:</w:t>
      </w:r>
    </w:p>
    <w:tbl>
      <w:tblPr>
        <w:tblStyle w:val="13"/>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3FF37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1144ABEE">
            <w:pPr>
              <w:overflowPunct/>
              <w:autoSpaceDE/>
              <w:autoSpaceDN/>
              <w:adjustRightInd/>
              <w:spacing w:before="100" w:beforeAutospacing="1" w:after="120"/>
              <w:textAlignment w:val="auto"/>
              <w:rPr>
                <w:rFonts w:hint="default" w:ascii="Times New Roman" w:hAnsi="Times New Roman" w:eastAsia="Malgun Gothic" w:cs="Times New Roman"/>
                <w:bCs/>
                <w:color w:val="0000FF"/>
                <w:sz w:val="18"/>
                <w:szCs w:val="24"/>
                <w:lang w:eastAsia="ko-KR"/>
              </w:rPr>
            </w:pPr>
            <w:r>
              <w:rPr>
                <w:rFonts w:hint="default" w:ascii="Times New Roman" w:hAnsi="Times New Roman" w:eastAsia="MS Mincho"/>
                <w:b/>
                <w:bCs/>
                <w:color w:val="008000"/>
                <w:sz w:val="18"/>
                <w:szCs w:val="22"/>
                <w:lang w:eastAsia="zh-CN"/>
              </w:rPr>
              <w:t>UE trajectory collection is supported via the Data Collection Reporting initiation procedure, Data Collection Reporting procedure, and Handover Preparation procedure.</w:t>
            </w:r>
            <w:r>
              <w:rPr>
                <w:rFonts w:hint="default" w:ascii="Times New Roman" w:hAnsi="Times New Roman" w:eastAsia="MS Mincho" w:cs="Times New Roman"/>
                <w:b/>
                <w:bCs/>
                <w:color w:val="008000"/>
                <w:sz w:val="18"/>
                <w:szCs w:val="22"/>
                <w:lang w:eastAsia="zh-CN"/>
              </w:rPr>
              <w:t xml:space="preserve"> </w:t>
            </w:r>
          </w:p>
        </w:tc>
      </w:tr>
    </w:tbl>
    <w:p w14:paraId="7972F7E3">
      <w:pPr>
        <w:numPr>
          <w:ilvl w:val="0"/>
          <w:numId w:val="0"/>
        </w:numPr>
        <w:overflowPunct/>
        <w:autoSpaceDE/>
        <w:autoSpaceDN/>
        <w:adjustRightInd/>
        <w:ind w:leftChars="0"/>
        <w:jc w:val="both"/>
        <w:textAlignment w:val="auto"/>
        <w:rPr>
          <w:rFonts w:hint="default" w:ascii="Times New Roman" w:hAnsi="Times New Roman" w:eastAsia="굴림"/>
          <w:b w:val="0"/>
          <w:bCs w:val="0"/>
          <w:color w:val="222222"/>
          <w:lang w:val="en-GB" w:eastAsia="ko-KR"/>
        </w:rPr>
      </w:pPr>
    </w:p>
    <w:p w14:paraId="48DB5712">
      <w:pPr>
        <w:numPr>
          <w:ilvl w:val="0"/>
          <w:numId w:val="0"/>
        </w:numPr>
        <w:overflowPunct/>
        <w:autoSpaceDE/>
        <w:autoSpaceDN/>
        <w:adjustRightInd/>
        <w:ind w:leftChars="0"/>
        <w:jc w:val="both"/>
        <w:textAlignment w:val="auto"/>
        <w:rPr>
          <w:rFonts w:hint="default" w:eastAsia="굴림"/>
          <w:b w:val="0"/>
          <w:bCs w:val="0"/>
          <w:color w:val="222222"/>
          <w:lang w:val="en-IN" w:eastAsia="ko-KR"/>
        </w:rPr>
      </w:pPr>
      <w:r>
        <w:rPr>
          <w:rFonts w:hint="default" w:ascii="Times New Roman" w:hAnsi="Times New Roman" w:eastAsia="굴림"/>
          <w:b w:val="0"/>
          <w:bCs w:val="0"/>
          <w:color w:val="222222"/>
          <w:lang w:val="en-GB" w:eastAsia="ko-KR"/>
        </w:rPr>
        <w:t>For multi-hop support, an open issue arises on how a source node (e.g., gNB0) should send a multi-hop prediction to neighbor gNBs. Two options can be considered: Hop-by-hop and Point-to-multipoint.</w:t>
      </w:r>
      <w:r>
        <w:rPr>
          <w:rFonts w:hint="default" w:eastAsia="굴림"/>
          <w:b/>
          <w:bCs/>
          <w:color w:val="222222"/>
          <w:lang w:val="en-IN" w:eastAsia="ko-KR"/>
        </w:rPr>
        <w:t xml:space="preserve"> </w:t>
      </w:r>
      <w:r>
        <w:rPr>
          <w:rFonts w:hint="default" w:eastAsia="굴림"/>
          <w:b w:val="0"/>
          <w:bCs w:val="0"/>
          <w:color w:val="222222"/>
          <w:lang w:val="en-IN" w:eastAsia="ko-KR"/>
        </w:rPr>
        <w:t>In hop-by-hop transfer, one concern is the need for every gNB along the predicted path to maintain UE context and forward trajectory-related feedback back to the originating source gNB. This may result in excessive UE context maintenance overhead.</w:t>
      </w:r>
    </w:p>
    <w:p w14:paraId="4F8EEA61">
      <w:pPr>
        <w:numPr>
          <w:ilvl w:val="0"/>
          <w:numId w:val="0"/>
        </w:numPr>
        <w:overflowPunct/>
        <w:autoSpaceDE/>
        <w:autoSpaceDN/>
        <w:adjustRightInd/>
        <w:ind w:leftChars="0"/>
        <w:jc w:val="both"/>
        <w:textAlignment w:val="auto"/>
        <w:rPr>
          <w:rFonts w:hint="default" w:eastAsia="굴림"/>
          <w:b/>
          <w:bCs/>
          <w:color w:val="222222"/>
          <w:lang w:val="en-IN" w:eastAsia="ko-KR"/>
        </w:rPr>
      </w:pPr>
      <w:r>
        <w:rPr>
          <w:rFonts w:hint="default" w:eastAsia="굴림"/>
          <w:b/>
          <w:bCs/>
          <w:color w:val="222222"/>
          <w:lang w:val="en-IN" w:eastAsia="ko-KR"/>
        </w:rPr>
        <w:t>Option 1: Hop-by-hop with AI/ML-capable Anchor Nodes</w:t>
      </w:r>
    </w:p>
    <w:p w14:paraId="1BBED86C">
      <w:pPr>
        <w:numPr>
          <w:ilvl w:val="0"/>
          <w:numId w:val="0"/>
        </w:numPr>
        <w:overflowPunct/>
        <w:autoSpaceDE/>
        <w:autoSpaceDN/>
        <w:adjustRightInd/>
        <w:ind w:leftChars="0" w:firstLine="284" w:firstLineChars="0"/>
        <w:jc w:val="both"/>
        <w:textAlignment w:val="auto"/>
        <w:rPr>
          <w:rFonts w:hint="default" w:eastAsia="굴림"/>
          <w:b w:val="0"/>
          <w:bCs w:val="0"/>
          <w:color w:val="222222"/>
          <w:lang w:val="en-IN" w:eastAsia="ko-KR"/>
        </w:rPr>
      </w:pPr>
      <w:r>
        <w:rPr>
          <w:rFonts w:hint="default" w:eastAsia="굴림"/>
          <w:b/>
          <w:bCs/>
          <w:color w:val="222222"/>
          <w:lang w:val="en-IN" w:eastAsia="ko-KR"/>
        </w:rPr>
        <w:t>If a gNB along the path has an AI/ML model, it can act as an anchor node,</w:t>
      </w:r>
      <w:r>
        <w:rPr>
          <w:rFonts w:hint="default" w:eastAsia="굴림"/>
          <w:b w:val="0"/>
          <w:bCs w:val="0"/>
          <w:color w:val="222222"/>
          <w:lang w:val="en-IN" w:eastAsia="ko-KR"/>
        </w:rPr>
        <w:t xml:space="preserve"> updating/refining the prediction locally. Feedback and data transfer are localized only until the next AI/ML-capable node, avoiding long backhaul of UE context.</w:t>
      </w:r>
    </w:p>
    <w:p w14:paraId="4647D64C">
      <w:pPr>
        <w:numPr>
          <w:ilvl w:val="0"/>
          <w:numId w:val="0"/>
        </w:numPr>
        <w:overflowPunct/>
        <w:autoSpaceDE/>
        <w:autoSpaceDN/>
        <w:adjustRightInd/>
        <w:ind w:left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If a target gNB has an AI/ML model implemented and is capable of performing trajectory prediction/collection, then:</w:t>
      </w:r>
    </w:p>
    <w:p w14:paraId="1D374B06">
      <w:pPr>
        <w:numPr>
          <w:ilvl w:val="0"/>
          <w:numId w:val="3"/>
        </w:numPr>
        <w:overflowPunct/>
        <w:autoSpaceDE/>
        <w:autoSpaceDN/>
        <w:adjustRightInd/>
        <w:ind w:left="840" w:leftChars="0" w:hanging="420"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The AI/ML-capable gNB can update or refine the trajectory prediction based on latest UE measurements.</w:t>
      </w:r>
    </w:p>
    <w:p w14:paraId="63E39702">
      <w:pPr>
        <w:numPr>
          <w:ilvl w:val="0"/>
          <w:numId w:val="3"/>
        </w:numPr>
        <w:overflowPunct/>
        <w:autoSpaceDE/>
        <w:autoSpaceDN/>
        <w:adjustRightInd/>
        <w:ind w:left="840" w:leftChars="0" w:hanging="420"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Data transfer and feedback forwarding may be restricted only until the next AI/ML-capable gNB, instead of back to the originating source gNB.</w:t>
      </w:r>
    </w:p>
    <w:p w14:paraId="5B6DD1E0">
      <w:pPr>
        <w:numPr>
          <w:ilvl w:val="0"/>
          <w:numId w:val="3"/>
        </w:numPr>
        <w:overflowPunct/>
        <w:autoSpaceDE/>
        <w:autoSpaceDN/>
        <w:adjustRightInd/>
        <w:ind w:left="840" w:leftChars="0" w:hanging="420"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This creates anchor points in the trajectory path where predictions are refreshed and responsibility for maintaining UE context is localized.</w:t>
      </w:r>
    </w:p>
    <w:p w14:paraId="2D49C824">
      <w:pPr>
        <w:numPr>
          <w:ilvl w:val="0"/>
          <w:numId w:val="0"/>
        </w:numPr>
        <w:overflowPunct/>
        <w:autoSpaceDE/>
        <w:autoSpaceDN/>
        <w:adjustRightInd/>
        <w:ind w:left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Advantages:</w:t>
      </w:r>
    </w:p>
    <w:p w14:paraId="3B8CB9B6">
      <w:pPr>
        <w:numPr>
          <w:ilvl w:val="0"/>
          <w:numId w:val="3"/>
        </w:numPr>
        <w:overflowPunct/>
        <w:autoSpaceDE/>
        <w:autoSpaceDN/>
        <w:adjustRightInd/>
        <w:ind w:left="840" w:leftChars="0" w:hanging="420"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Reduces the burden of maintaining long UE context chains across multiple gNBs.</w:t>
      </w:r>
    </w:p>
    <w:p w14:paraId="74836B8A">
      <w:pPr>
        <w:numPr>
          <w:ilvl w:val="0"/>
          <w:numId w:val="3"/>
        </w:numPr>
        <w:overflowPunct/>
        <w:autoSpaceDE/>
        <w:autoSpaceDN/>
        <w:adjustRightInd/>
        <w:ind w:left="840" w:leftChars="0" w:hanging="420"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Feedback handling becomes localized, improving scalability.</w:t>
      </w:r>
    </w:p>
    <w:p w14:paraId="4AE653F7">
      <w:pPr>
        <w:numPr>
          <w:ilvl w:val="0"/>
          <w:numId w:val="3"/>
        </w:numPr>
        <w:overflowPunct/>
        <w:autoSpaceDE/>
        <w:autoSpaceDN/>
        <w:adjustRightInd/>
        <w:ind w:left="840" w:leftChars="0" w:hanging="420"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Allows AI/ML-capable gNBs to refine predictions dynamically based on updated measurements.</w:t>
      </w:r>
    </w:p>
    <w:p w14:paraId="495A7578">
      <w:pPr>
        <w:numPr>
          <w:ilvl w:val="0"/>
          <w:numId w:val="0"/>
        </w:numPr>
        <w:overflowPunct/>
        <w:autoSpaceDE/>
        <w:autoSpaceDN/>
        <w:adjustRightInd/>
        <w:ind w:leftChars="0"/>
        <w:jc w:val="both"/>
        <w:textAlignment w:val="auto"/>
        <w:rPr>
          <w:rFonts w:hint="default" w:eastAsia="굴림"/>
          <w:b/>
          <w:bCs/>
          <w:color w:val="222222"/>
          <w:lang w:val="en-IN" w:eastAsia="ko-KR"/>
        </w:rPr>
      </w:pPr>
      <w:r>
        <w:rPr>
          <w:rFonts w:hint="default" w:eastAsia="굴림"/>
          <w:b/>
          <w:bCs/>
          <w:color w:val="222222"/>
          <w:lang w:val="en-IN" w:eastAsia="ko-KR"/>
        </w:rPr>
        <w:t>Proposal 4: Introduce the concept of AI/ML-capable anchor nodes, where multi-hop trajectory prediction/collection responsibility can be localized and refreshed, reducing the need to forward data and feedback to the originating source node.</w:t>
      </w:r>
    </w:p>
    <w:p w14:paraId="57C99B0A">
      <w:pPr>
        <w:numPr>
          <w:ilvl w:val="0"/>
          <w:numId w:val="0"/>
        </w:numPr>
        <w:overflowPunct/>
        <w:autoSpaceDE/>
        <w:autoSpaceDN/>
        <w:adjustRightInd/>
        <w:ind w:leftChars="0" w:firstLine="284"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Introduce a mechanism for a gNB to indicate to other nodes whether it has implemented an AI/ML model for UE trajectory prediction/collection. This enables neighboring nodes to identify AI/ML-capable anchor nodes and optimize multi-hop trajectory transfer and feedback procedures.</w:t>
      </w:r>
    </w:p>
    <w:p w14:paraId="1A741E05">
      <w:pPr>
        <w:numPr>
          <w:ilvl w:val="0"/>
          <w:numId w:val="0"/>
        </w:numPr>
        <w:overflowPunct/>
        <w:autoSpaceDE/>
        <w:autoSpaceDN/>
        <w:adjustRightInd/>
        <w:ind w:leftChars="0"/>
        <w:jc w:val="both"/>
        <w:textAlignment w:val="auto"/>
        <w:rPr>
          <w:rFonts w:hint="default" w:eastAsia="굴림"/>
          <w:b/>
          <w:bCs/>
          <w:color w:val="222222"/>
          <w:lang w:val="en-IN" w:eastAsia="ko-KR"/>
        </w:rPr>
      </w:pPr>
      <w:r>
        <w:rPr>
          <w:rFonts w:hint="default" w:eastAsia="굴림"/>
          <w:b/>
          <w:bCs/>
          <w:color w:val="222222"/>
          <w:lang w:val="en-IN" w:eastAsia="ko-KR"/>
        </w:rPr>
        <w:t>Proposal 5: Include an IE indicating gNB AI/ML trajectory prediction capability during Xn Setup/Update or NG Setup/Update procedures.</w:t>
      </w:r>
    </w:p>
    <w:p w14:paraId="4DDA9292">
      <w:pPr>
        <w:numPr>
          <w:ilvl w:val="0"/>
          <w:numId w:val="0"/>
        </w:numPr>
        <w:overflowPunct/>
        <w:autoSpaceDE/>
        <w:autoSpaceDN/>
        <w:adjustRightInd/>
        <w:ind w:leftChars="0"/>
        <w:jc w:val="both"/>
        <w:textAlignment w:val="auto"/>
        <w:rPr>
          <w:rFonts w:hint="default" w:eastAsia="굴림"/>
          <w:b w:val="0"/>
          <w:bCs w:val="0"/>
          <w:color w:val="222222"/>
          <w:lang w:val="en-IN" w:eastAsia="ko-KR"/>
        </w:rPr>
      </w:pPr>
      <w:r>
        <w:rPr>
          <w:rFonts w:hint="default" w:eastAsia="굴림"/>
          <w:b/>
          <w:bCs/>
          <w:color w:val="222222"/>
          <w:lang w:val="en-IN" w:eastAsia="ko-KR"/>
        </w:rPr>
        <w:t>Mobility Class–based Refinement:</w:t>
      </w:r>
    </w:p>
    <w:p w14:paraId="42A25FA7">
      <w:pPr>
        <w:numPr>
          <w:ilvl w:val="0"/>
          <w:numId w:val="0"/>
        </w:numPr>
        <w:overflowPunct/>
        <w:autoSpaceDE/>
        <w:autoSpaceDN/>
        <w:adjustRightInd/>
        <w:ind w:left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In some cases, an AI/ML-capable anchor node may be 5+ hops away from the source gNB. Depending on UE mobility class:</w:t>
      </w:r>
    </w:p>
    <w:p w14:paraId="562B0195">
      <w:pPr>
        <w:numPr>
          <w:ilvl w:val="0"/>
          <w:numId w:val="3"/>
        </w:numPr>
        <w:overflowPunct/>
        <w:autoSpaceDE/>
        <w:autoSpaceDN/>
        <w:adjustRightInd/>
        <w:ind w:left="840" w:leftChars="0" w:hanging="420"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Pedestrian / Low-speed vehicular: Full 5-hop prediction exchange and feedback is unnecessary → may restrict to 2 hops only.</w:t>
      </w:r>
    </w:p>
    <w:p w14:paraId="17E1B684">
      <w:pPr>
        <w:numPr>
          <w:ilvl w:val="0"/>
          <w:numId w:val="3"/>
        </w:numPr>
        <w:overflowPunct/>
        <w:autoSpaceDE/>
        <w:autoSpaceDN/>
        <w:adjustRightInd/>
        <w:ind w:left="840" w:leftChars="0" w:hanging="420" w:firstLineChars="0"/>
        <w:jc w:val="both"/>
        <w:textAlignment w:val="auto"/>
        <w:rPr>
          <w:rFonts w:hint="default" w:eastAsia="굴림"/>
          <w:b w:val="0"/>
          <w:bCs w:val="0"/>
          <w:color w:val="222222"/>
          <w:lang w:val="en-IN" w:eastAsia="ko-KR"/>
        </w:rPr>
      </w:pPr>
      <w:r>
        <w:rPr>
          <w:rFonts w:hint="default" w:eastAsia="굴림"/>
          <w:b w:val="0"/>
          <w:bCs w:val="0"/>
          <w:color w:val="222222"/>
          <w:lang w:val="en-IN" w:eastAsia="ko-KR"/>
        </w:rPr>
        <w:t>High-speed vehicular (e.g., train): Longer multi-hop prediction exchange (≥5 hops) is beneficial.</w:t>
      </w:r>
    </w:p>
    <w:p w14:paraId="22DD03E6">
      <w:pPr>
        <w:numPr>
          <w:ilvl w:val="0"/>
          <w:numId w:val="0"/>
        </w:numPr>
        <w:overflowPunct/>
        <w:autoSpaceDE/>
        <w:autoSpaceDN/>
        <w:adjustRightInd/>
        <w:ind w:leftChars="0"/>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6</w:t>
      </w:r>
      <w:r>
        <w:rPr>
          <w:rFonts w:hint="default" w:ascii="Times New Roman" w:hAnsi="Times New Roman" w:eastAsia="굴림"/>
          <w:b/>
          <w:bCs/>
          <w:color w:val="222222"/>
          <w:lang w:val="en-GB" w:eastAsia="ko-KR"/>
        </w:rPr>
        <w:t>: Consider mobility class–based limitation of prediction exchange depth (e.g., restrict to 2 hops for low-mobility UEs, extend for high-speed UEs).</w:t>
      </w:r>
    </w:p>
    <w:p w14:paraId="7A27454A">
      <w:pPr>
        <w:pStyle w:val="3"/>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2.</w:t>
      </w:r>
      <w:r>
        <w:rPr>
          <w:rFonts w:hint="default" w:ascii="Times New Roman" w:hAnsi="Times New Roman" w:eastAsia="Malgun Gothic" w:cs="Times New Roman"/>
          <w:lang w:val="en-IN" w:eastAsia="ko-KR"/>
        </w:rPr>
        <w:t>3</w:t>
      </w:r>
      <w:r>
        <w:rPr>
          <w:rFonts w:hint="default" w:ascii="Times New Roman" w:hAnsi="Times New Roman" w:eastAsia="Malgun Gothic" w:cs="Times New Roman"/>
          <w:lang w:eastAsia="ko-KR"/>
        </w:rPr>
        <w:t xml:space="preserve"> </w:t>
      </w:r>
      <w:r>
        <w:rPr>
          <w:rFonts w:hint="default" w:ascii="Times New Roman" w:hAnsi="Times New Roman" w:eastAsia="Malgun Gothic"/>
          <w:lang w:eastAsia="ko-KR"/>
        </w:rPr>
        <w:t>UE Assistance Information for Multi-hop Trajectory Prediction</w:t>
      </w:r>
    </w:p>
    <w:p w14:paraId="2C5B460B">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In Rel-17</w:t>
      </w:r>
      <w:r>
        <w:rPr>
          <w:rFonts w:hint="default" w:eastAsia="굴림" w:cs="Times New Roman"/>
          <w:color w:val="222222"/>
          <w:lang w:val="en-IN" w:eastAsia="ko-KR"/>
        </w:rPr>
        <w:t xml:space="preserve"> TR 37.817</w:t>
      </w:r>
      <w:r>
        <w:rPr>
          <w:rFonts w:hint="default" w:ascii="Times New Roman" w:hAnsi="Times New Roman" w:eastAsia="굴림" w:cs="Times New Roman"/>
          <w:color w:val="222222"/>
          <w:lang w:val="en-GB" w:eastAsia="ko-KR"/>
        </w:rPr>
        <w:t>, the following data was identified as required input for mobility optimization</w:t>
      </w:r>
      <w:r>
        <w:rPr>
          <w:rFonts w:hint="default" w:eastAsia="굴림" w:cs="Times New Roman"/>
          <w:color w:val="222222"/>
          <w:lang w:val="en-IN" w:eastAsia="ko-KR"/>
        </w:rPr>
        <w:t xml:space="preserve"> [2]</w:t>
      </w:r>
      <w:r>
        <w:rPr>
          <w:rFonts w:hint="default" w:ascii="Times New Roman" w:hAnsi="Times New Roman" w:eastAsia="굴림" w:cs="Times New Roman"/>
          <w:color w:val="222222"/>
          <w:lang w:val="en-GB" w:eastAsia="ko-KR"/>
        </w:rPr>
        <w:t>:</w:t>
      </w:r>
    </w:p>
    <w:tbl>
      <w:tblPr>
        <w:tblStyle w:val="13"/>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36AC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799E8EF0">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eastAsia="zh-CN"/>
              </w:rPr>
            </w:pPr>
            <w:r>
              <w:rPr>
                <w:rFonts w:hint="default" w:ascii="Times New Roman" w:hAnsi="Times New Roman" w:eastAsia="MS Mincho" w:cs="Times New Roman"/>
                <w:b/>
                <w:bCs/>
                <w:color w:val="008000"/>
                <w:sz w:val="18"/>
                <w:szCs w:val="22"/>
                <w:lang w:eastAsia="zh-CN"/>
              </w:rPr>
              <w:t>From UE:</w:t>
            </w:r>
          </w:p>
          <w:p w14:paraId="59EE8281">
            <w:pPr>
              <w:numPr>
                <w:ilvl w:val="0"/>
                <w:numId w:val="4"/>
              </w:numPr>
              <w:overflowPunct/>
              <w:autoSpaceDE/>
              <w:autoSpaceDN/>
              <w:adjustRightInd/>
              <w:spacing w:before="100" w:beforeAutospacing="1" w:after="120"/>
              <w:ind w:left="420" w:leftChars="0" w:hanging="420" w:firstLineChars="0"/>
              <w:textAlignment w:val="auto"/>
              <w:rPr>
                <w:rFonts w:hint="default" w:ascii="Times New Roman" w:hAnsi="Times New Roman" w:eastAsia="Malgun Gothic" w:cs="Times New Roman"/>
                <w:bCs/>
                <w:color w:val="0000FF"/>
                <w:sz w:val="18"/>
                <w:szCs w:val="24"/>
                <w:lang w:eastAsia="ko-KR"/>
              </w:rPr>
            </w:pPr>
            <w:r>
              <w:rPr>
                <w:rFonts w:hint="default" w:ascii="Times New Roman" w:hAnsi="Times New Roman" w:eastAsia="MS Mincho" w:cs="Times New Roman"/>
                <w:b/>
                <w:bCs/>
                <w:color w:val="008000"/>
                <w:sz w:val="18"/>
                <w:szCs w:val="22"/>
                <w:lang w:eastAsia="zh-CN"/>
              </w:rPr>
              <w:t>UE location information (e.g., coordinates, serving cell ID, moving velocity), as interpreted by gNB implementation when available.</w:t>
            </w:r>
          </w:p>
          <w:p w14:paraId="578DB0DD">
            <w:pPr>
              <w:numPr>
                <w:ilvl w:val="0"/>
                <w:numId w:val="4"/>
              </w:numPr>
              <w:overflowPunct/>
              <w:autoSpaceDE/>
              <w:autoSpaceDN/>
              <w:adjustRightInd/>
              <w:spacing w:before="100" w:beforeAutospacing="1" w:after="120"/>
              <w:ind w:left="420" w:leftChars="0" w:hanging="420" w:firstLineChars="0"/>
              <w:textAlignment w:val="auto"/>
              <w:rPr>
                <w:rFonts w:hint="default" w:ascii="Times New Roman" w:hAnsi="Times New Roman" w:eastAsia="Malgun Gothic" w:cs="Times New Roman"/>
                <w:bCs/>
                <w:color w:val="0000FF"/>
                <w:sz w:val="18"/>
                <w:szCs w:val="24"/>
                <w:lang w:eastAsia="ko-KR"/>
              </w:rPr>
            </w:pPr>
            <w:r>
              <w:rPr>
                <w:rFonts w:hint="default" w:ascii="Times New Roman" w:hAnsi="Times New Roman" w:eastAsia="MS Mincho" w:cs="Times New Roman"/>
                <w:b/>
                <w:bCs/>
                <w:color w:val="008000"/>
                <w:sz w:val="18"/>
                <w:szCs w:val="22"/>
                <w:lang w:eastAsia="zh-CN"/>
              </w:rPr>
              <w:t>Radio Measurements: Measurements related to serving and neighbouring cells associated with UE location (e.g., RSRP, RSRQ, SINR).</w:t>
            </w:r>
          </w:p>
          <w:p w14:paraId="068C9A94">
            <w:pPr>
              <w:numPr>
                <w:ilvl w:val="0"/>
                <w:numId w:val="4"/>
              </w:numPr>
              <w:overflowPunct/>
              <w:autoSpaceDE/>
              <w:autoSpaceDN/>
              <w:adjustRightInd/>
              <w:spacing w:before="100" w:beforeAutospacing="1" w:after="120"/>
              <w:ind w:left="420" w:leftChars="0" w:hanging="420" w:firstLineChars="0"/>
              <w:textAlignment w:val="auto"/>
              <w:rPr>
                <w:rFonts w:hint="default" w:ascii="Times New Roman" w:hAnsi="Times New Roman" w:eastAsia="Malgun Gothic" w:cs="Times New Roman"/>
                <w:bCs/>
                <w:color w:val="0000FF"/>
                <w:sz w:val="18"/>
                <w:szCs w:val="24"/>
                <w:lang w:eastAsia="ko-KR"/>
              </w:rPr>
            </w:pPr>
            <w:r>
              <w:rPr>
                <w:rFonts w:hint="default" w:ascii="Times New Roman" w:hAnsi="Times New Roman" w:eastAsia="MS Mincho" w:cs="Times New Roman"/>
                <w:b/>
                <w:bCs/>
                <w:color w:val="008000"/>
                <w:sz w:val="18"/>
                <w:szCs w:val="22"/>
                <w:lang w:eastAsia="zh-CN"/>
              </w:rPr>
              <w:t xml:space="preserve">UE Mobility History Information. </w:t>
            </w:r>
          </w:p>
        </w:tc>
      </w:tr>
    </w:tbl>
    <w:p w14:paraId="6419E42A">
      <w:pPr>
        <w:overflowPunct/>
        <w:autoSpaceDE/>
        <w:autoSpaceDN/>
        <w:adjustRightInd/>
        <w:jc w:val="both"/>
        <w:textAlignment w:val="auto"/>
        <w:rPr>
          <w:rFonts w:hint="default" w:ascii="Times New Roman" w:hAnsi="Times New Roman" w:eastAsia="굴림"/>
          <w:color w:val="222222"/>
          <w:lang w:val="en-GB" w:eastAsia="ko-KR"/>
        </w:rPr>
      </w:pPr>
    </w:p>
    <w:p w14:paraId="79258DAE">
      <w:pPr>
        <w:overflowPunct/>
        <w:autoSpaceDE/>
        <w:autoSpaceDN/>
        <w:adjustRightInd/>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To enable multi-hop trajectory prediction, additional input data may be required. One possible enhancement is to utilize UE destination/route information. For example, if a UE’s route is known (similar to navigation applications), multi-hop trajectory prediction can leverage predefined BSs along the path. The main open issue is how destination/route information is conveyed to the network:</w:t>
      </w:r>
    </w:p>
    <w:p w14:paraId="7B91B347">
      <w:pPr>
        <w:numPr>
          <w:ilvl w:val="0"/>
          <w:numId w:val="0"/>
        </w:numPr>
        <w:overflowPunct/>
        <w:autoSpaceDE/>
        <w:autoSpaceDN/>
        <w:adjustRightInd/>
        <w:ind w:leftChars="0"/>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Option 1: Application-layer exposure via NEF</w:t>
      </w:r>
    </w:p>
    <w:p w14:paraId="494665E5">
      <w:pPr>
        <w:numPr>
          <w:ilvl w:val="0"/>
          <w:numId w:val="3"/>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Application → NEF API → Operator Core Network.</w:t>
      </w:r>
    </w:p>
    <w:p w14:paraId="63CF147B">
      <w:pPr>
        <w:numPr>
          <w:ilvl w:val="0"/>
          <w:numId w:val="3"/>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NEF forwards “mobility intent” (destination, route, time window, QoS requirements) to NWDAF/MDAS for prediction support.</w:t>
      </w:r>
    </w:p>
    <w:p w14:paraId="7FBE3DFF">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Option 2: Direct RAN/NAS signaling (future 6G option)</w:t>
      </w:r>
    </w:p>
    <w:p w14:paraId="6D3BA96B">
      <w:pPr>
        <w:numPr>
          <w:ilvl w:val="0"/>
          <w:numId w:val="3"/>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UE provides Mobility Intent IE (destination/route ID) via RRC/NAS message to serving gNB.</w:t>
      </w:r>
    </w:p>
    <w:p w14:paraId="1E4E03A5">
      <w:pPr>
        <w:numPr>
          <w:ilvl w:val="0"/>
          <w:numId w:val="3"/>
        </w:numPr>
        <w:overflowPunct/>
        <w:autoSpaceDE/>
        <w:autoSpaceDN/>
        <w:adjustRightInd/>
        <w:ind w:left="840" w:leftChars="0" w:hanging="420" w:firstLineChars="0"/>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Serving gNB forwards to other gNBs (via Xn) or to NWDAF for global coordination.</w:t>
      </w:r>
    </w:p>
    <w:p w14:paraId="58BD3B34">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7</w:t>
      </w:r>
      <w:r>
        <w:rPr>
          <w:rFonts w:hint="default" w:ascii="Times New Roman" w:hAnsi="Times New Roman" w:eastAsia="굴림"/>
          <w:b/>
          <w:bCs/>
          <w:color w:val="222222"/>
          <w:lang w:val="en-GB" w:eastAsia="ko-KR"/>
        </w:rPr>
        <w:t xml:space="preserve">: </w:t>
      </w:r>
      <w:r>
        <w:rPr>
          <w:rFonts w:hint="default" w:eastAsia="굴림"/>
          <w:b/>
          <w:bCs/>
          <w:color w:val="222222"/>
          <w:lang w:val="en-IN" w:eastAsia="ko-KR"/>
        </w:rPr>
        <w:t>RAN3 should c</w:t>
      </w:r>
      <w:r>
        <w:rPr>
          <w:rFonts w:hint="default" w:ascii="Times New Roman" w:hAnsi="Times New Roman" w:eastAsia="굴림"/>
          <w:b/>
          <w:bCs/>
          <w:color w:val="222222"/>
          <w:lang w:val="en-GB" w:eastAsia="ko-KR"/>
        </w:rPr>
        <w:t>onsider destination/route information as an additional input for multi-hop UE trajectory prediction.</w:t>
      </w:r>
    </w:p>
    <w:p w14:paraId="19573BC7">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8</w:t>
      </w:r>
      <w:r>
        <w:rPr>
          <w:rFonts w:hint="default" w:ascii="Times New Roman" w:hAnsi="Times New Roman" w:eastAsia="굴림"/>
          <w:b/>
          <w:bCs/>
          <w:color w:val="222222"/>
          <w:lang w:val="en-GB" w:eastAsia="ko-KR"/>
        </w:rPr>
        <w:t>: Evaluate NEF-based application-layer exposure as a short-term mechanism for delivering mobility intent to the RAN.</w:t>
      </w:r>
    </w:p>
    <w:p w14:paraId="0FAC7031">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9</w:t>
      </w:r>
      <w:r>
        <w:rPr>
          <w:rFonts w:hint="default" w:ascii="Times New Roman" w:hAnsi="Times New Roman" w:eastAsia="굴림"/>
          <w:b/>
          <w:bCs/>
          <w:color w:val="222222"/>
          <w:lang w:val="en-GB" w:eastAsia="ko-KR"/>
        </w:rPr>
        <w:t>: Study the feasibility of direct RAN/NAS signaling of mobility intent as a potential long-term (e.g., 6G) solution.</w:t>
      </w:r>
    </w:p>
    <w:p w14:paraId="2257E8DF">
      <w:pPr>
        <w:overflowPunct/>
        <w:autoSpaceDE/>
        <w:autoSpaceDN/>
        <w:adjustRightInd/>
        <w:jc w:val="both"/>
        <w:textAlignment w:val="auto"/>
        <w:rPr>
          <w:rFonts w:hint="default" w:ascii="Times New Roman" w:hAnsi="Times New Roman" w:eastAsia="굴림"/>
          <w:b/>
          <w:bCs/>
          <w:color w:val="222222"/>
          <w:lang w:val="en-IN" w:eastAsia="ko-KR"/>
        </w:rPr>
      </w:pPr>
      <w:bookmarkStart w:id="0" w:name="_GoBack"/>
      <w:bookmarkEnd w:id="0"/>
    </w:p>
    <w:p w14:paraId="4754F790">
      <w:pPr>
        <w:pStyle w:val="2"/>
        <w:numPr>
          <w:ilvl w:val="0"/>
          <w:numId w:val="5"/>
        </w:numPr>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Conclusion</w:t>
      </w:r>
    </w:p>
    <w:p w14:paraId="6F608A0A">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 xml:space="preserve">In this contribution, we focused on </w:t>
      </w:r>
      <w:r>
        <w:rPr>
          <w:rFonts w:hint="default" w:ascii="Times New Roman" w:hAnsi="Times New Roman" w:eastAsia="Malgun Gothic" w:cs="Times New Roman"/>
          <w:lang w:eastAsia="ko-KR"/>
        </w:rPr>
        <w:t xml:space="preserve">open issues for </w:t>
      </w:r>
      <w:r>
        <w:rPr>
          <w:rFonts w:hint="default" w:eastAsia="Malgun Gothic" w:cs="Times New Roman"/>
          <w:lang w:val="en-IN" w:eastAsia="ko-KR"/>
        </w:rPr>
        <w:t>Multi hop UE trajectory</w:t>
      </w:r>
      <w:r>
        <w:rPr>
          <w:rFonts w:hint="default" w:ascii="Times New Roman" w:hAnsi="Times New Roman" w:eastAsia="굴림" w:cs="Times New Roman"/>
          <w:lang w:val="en-GB" w:eastAsia="ko-KR"/>
        </w:rPr>
        <w:t xml:space="preserve"> and provided our view. The following proposals are made:</w:t>
      </w:r>
    </w:p>
    <w:p w14:paraId="1ED7784C">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UE Associated and Non UE associated Trajectory Prediction</w:t>
      </w:r>
    </w:p>
    <w:p w14:paraId="329A9390">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1: RAN3 should study both UE-associated and non-UE-associated transfer options for multi-hop UE trajectory prediction.</w:t>
      </w:r>
    </w:p>
    <w:p w14:paraId="66A7EEC8">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2: UE-associated messaging should be used when the prediction data is directly applied for per-UE L3 HO preparation or configuration, ensuring low latency and UE context binding.</w:t>
      </w:r>
    </w:p>
    <w:p w14:paraId="5B6D4D7E">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3: Non-UE-associated messaging should be used when the prediction data is shared across multiple nodes, used for aggregated network-level optimization, or originates from centralized OAM inference.</w:t>
      </w:r>
    </w:p>
    <w:p w14:paraId="7A68560C">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Mechanisms for Multi-hop UE Trajectory Prediction Transfer</w:t>
      </w:r>
    </w:p>
    <w:p w14:paraId="16A65757">
      <w:pPr>
        <w:numPr>
          <w:ilvl w:val="0"/>
          <w:numId w:val="0"/>
        </w:numPr>
        <w:overflowPunct/>
        <w:autoSpaceDE/>
        <w:autoSpaceDN/>
        <w:adjustRightInd/>
        <w:ind w:leftChars="0"/>
        <w:jc w:val="both"/>
        <w:textAlignment w:val="auto"/>
        <w:rPr>
          <w:rFonts w:hint="default" w:eastAsia="굴림"/>
          <w:b/>
          <w:bCs/>
          <w:color w:val="222222"/>
          <w:lang w:val="en-IN" w:eastAsia="ko-KR"/>
        </w:rPr>
      </w:pPr>
      <w:r>
        <w:rPr>
          <w:rFonts w:hint="default" w:eastAsia="굴림"/>
          <w:b/>
          <w:bCs/>
          <w:color w:val="222222"/>
          <w:lang w:val="en-IN" w:eastAsia="ko-KR"/>
        </w:rPr>
        <w:t>Proposal 4: Introduce the concept of AI/ML-capable anchor nodes, where multi-hop trajectory prediction/collection responsibility can be localized and refreshed, reducing the need to forward data and feedback to the originating source node.</w:t>
      </w:r>
    </w:p>
    <w:p w14:paraId="2B74D1B0">
      <w:pPr>
        <w:numPr>
          <w:ilvl w:val="0"/>
          <w:numId w:val="0"/>
        </w:numPr>
        <w:overflowPunct/>
        <w:autoSpaceDE/>
        <w:autoSpaceDN/>
        <w:adjustRightInd/>
        <w:ind w:leftChars="0"/>
        <w:jc w:val="both"/>
        <w:textAlignment w:val="auto"/>
        <w:rPr>
          <w:rFonts w:hint="default" w:eastAsia="굴림"/>
          <w:b/>
          <w:bCs/>
          <w:color w:val="222222"/>
          <w:lang w:val="en-IN" w:eastAsia="ko-KR"/>
        </w:rPr>
      </w:pPr>
      <w:r>
        <w:rPr>
          <w:rFonts w:hint="default" w:eastAsia="굴림"/>
          <w:b/>
          <w:bCs/>
          <w:color w:val="222222"/>
          <w:lang w:val="en-IN" w:eastAsia="ko-KR"/>
        </w:rPr>
        <w:t>Proposal 5: Include an IE indicating gNB AI/ML trajectory prediction capability during Xn Setup/Update or NG Setup/Update procedures.</w:t>
      </w:r>
    </w:p>
    <w:p w14:paraId="39BF5743">
      <w:pPr>
        <w:numPr>
          <w:ilvl w:val="0"/>
          <w:numId w:val="0"/>
        </w:numPr>
        <w:overflowPunct/>
        <w:autoSpaceDE/>
        <w:autoSpaceDN/>
        <w:adjustRightInd/>
        <w:ind w:leftChars="0"/>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6</w:t>
      </w:r>
      <w:r>
        <w:rPr>
          <w:rFonts w:hint="default" w:ascii="Times New Roman" w:hAnsi="Times New Roman" w:eastAsia="굴림"/>
          <w:b/>
          <w:bCs/>
          <w:color w:val="222222"/>
          <w:lang w:val="en-GB" w:eastAsia="ko-KR"/>
        </w:rPr>
        <w:t>: Consider mobility class–based limitation of prediction exchange depth (e.g., restrict to 2 hops for low-mobility UEs, extend for high-speed UEs).</w:t>
      </w:r>
    </w:p>
    <w:p w14:paraId="6B663C7C">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UE Assistance Information for Multi-hop Trajectory Prediction</w:t>
      </w:r>
    </w:p>
    <w:p w14:paraId="757C5E48">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7</w:t>
      </w:r>
      <w:r>
        <w:rPr>
          <w:rFonts w:hint="default" w:ascii="Times New Roman" w:hAnsi="Times New Roman" w:eastAsia="굴림"/>
          <w:b/>
          <w:bCs/>
          <w:color w:val="222222"/>
          <w:lang w:val="en-GB" w:eastAsia="ko-KR"/>
        </w:rPr>
        <w:t xml:space="preserve">: </w:t>
      </w:r>
      <w:r>
        <w:rPr>
          <w:rFonts w:hint="default" w:eastAsia="굴림"/>
          <w:b/>
          <w:bCs/>
          <w:color w:val="222222"/>
          <w:lang w:val="en-IN" w:eastAsia="ko-KR"/>
        </w:rPr>
        <w:t>RAN3 should c</w:t>
      </w:r>
      <w:r>
        <w:rPr>
          <w:rFonts w:hint="default" w:ascii="Times New Roman" w:hAnsi="Times New Roman" w:eastAsia="굴림"/>
          <w:b/>
          <w:bCs/>
          <w:color w:val="222222"/>
          <w:lang w:val="en-GB" w:eastAsia="ko-KR"/>
        </w:rPr>
        <w:t>onsider destination/route information as an additional input for multi-hop UE trajectory prediction.</w:t>
      </w:r>
    </w:p>
    <w:p w14:paraId="0E1EC4C7">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8</w:t>
      </w:r>
      <w:r>
        <w:rPr>
          <w:rFonts w:hint="default" w:ascii="Times New Roman" w:hAnsi="Times New Roman" w:eastAsia="굴림"/>
          <w:b/>
          <w:bCs/>
          <w:color w:val="222222"/>
          <w:lang w:val="en-GB" w:eastAsia="ko-KR"/>
        </w:rPr>
        <w:t>: Evaluate NEF-based application-layer exposure as a short-term mechanism for delivering mobility intent to the RAN.</w:t>
      </w:r>
    </w:p>
    <w:p w14:paraId="7EE05DB1">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9</w:t>
      </w:r>
      <w:r>
        <w:rPr>
          <w:rFonts w:hint="default" w:ascii="Times New Roman" w:hAnsi="Times New Roman" w:eastAsia="굴림"/>
          <w:b/>
          <w:bCs/>
          <w:color w:val="222222"/>
          <w:lang w:val="en-GB" w:eastAsia="ko-KR"/>
        </w:rPr>
        <w:t>: Study the feasibility of direct RAN/NAS signaling of mobility intent as a potential long-term (e.g., 6G) solution.</w:t>
      </w:r>
    </w:p>
    <w:p w14:paraId="10E8526C">
      <w:pPr>
        <w:overflowPunct/>
        <w:autoSpaceDE/>
        <w:autoSpaceDN/>
        <w:adjustRightInd/>
        <w:jc w:val="both"/>
        <w:textAlignment w:val="auto"/>
        <w:rPr>
          <w:rFonts w:hint="default" w:ascii="Times New Roman" w:hAnsi="Times New Roman" w:eastAsia="굴림" w:cs="Times New Roman"/>
          <w:i/>
          <w:iCs/>
          <w:color w:val="222222"/>
          <w:u w:val="single"/>
          <w:lang w:val="en-GB" w:eastAsia="ko-KR"/>
        </w:rPr>
      </w:pPr>
    </w:p>
    <w:p w14:paraId="1DE00F93">
      <w:pPr>
        <w:pStyle w:val="2"/>
        <w:numPr>
          <w:ilvl w:val="0"/>
          <w:numId w:val="5"/>
        </w:numPr>
        <w:pBdr>
          <w:top w:val="single" w:color="auto" w:sz="12" w:space="0"/>
        </w:pBdr>
        <w:rPr>
          <w:rFonts w:hint="default" w:ascii="Times New Roman" w:hAnsi="Times New Roman" w:cs="Times New Roman"/>
        </w:rPr>
      </w:pPr>
      <w:r>
        <w:rPr>
          <w:rFonts w:hint="default" w:ascii="Times New Roman" w:hAnsi="Times New Roman" w:cs="Times New Roman"/>
        </w:rPr>
        <w:t>References</w:t>
      </w:r>
    </w:p>
    <w:p w14:paraId="5C0B9233">
      <w:pPr>
        <w:numPr>
          <w:ilvl w:val="0"/>
          <w:numId w:val="6"/>
        </w:numPr>
        <w:rPr>
          <w:rFonts w:hint="default" w:ascii="Times New Roman" w:hAnsi="Times New Roman" w:eastAsia="Malgun Gothic" w:cs="Times New Roman"/>
          <w:lang w:eastAsia="ko-KR"/>
        </w:rPr>
      </w:pPr>
      <w:r>
        <w:rPr>
          <w:rFonts w:hint="default" w:ascii="Times New Roman" w:hAnsi="Times New Roman" w:eastAsia="굴림" w:cs="Times New Roman"/>
          <w:color w:val="222222"/>
          <w:lang w:val="en-GB" w:eastAsia="ko-KR"/>
        </w:rPr>
        <w:t>R</w:t>
      </w:r>
      <w:r>
        <w:rPr>
          <w:rFonts w:hint="default" w:eastAsia="굴림" w:cs="Times New Roman"/>
          <w:color w:val="222222"/>
          <w:lang w:val="en-IN" w:eastAsia="ko-KR"/>
        </w:rPr>
        <w:t>3-256501, RAN3 Chair Agenda EOM, RAN3#129bis, Oct 2025.</w:t>
      </w:r>
    </w:p>
    <w:p w14:paraId="3A11B10C">
      <w:pPr>
        <w:numPr>
          <w:ilvl w:val="0"/>
          <w:numId w:val="6"/>
        </w:numPr>
        <w:rPr>
          <w:rFonts w:hint="default" w:ascii="Times New Roman" w:hAnsi="Times New Roman" w:eastAsia="Malgun Gothic" w:cs="Times New Roman"/>
          <w:lang w:eastAsia="ko-KR"/>
        </w:rPr>
      </w:pPr>
      <w:r>
        <w:rPr>
          <w:rFonts w:hint="default" w:eastAsia="굴림" w:cs="Times New Roman"/>
          <w:color w:val="222222"/>
          <w:lang w:val="en-IN" w:eastAsia="ko-KR"/>
        </w:rPr>
        <w:t>TR 37.817-</w:t>
      </w:r>
      <w:r>
        <w:t>Study on enhancement for Data Collection for NR and EN-DC</w:t>
      </w:r>
      <w:r>
        <w:rPr>
          <w:rFonts w:hint="default"/>
          <w:lang w:val="en-IN"/>
        </w:rPr>
        <w:t>, Rel 17, V17.0.0, 2022</w:t>
      </w:r>
      <w:r>
        <w:rPr>
          <w:rFonts w:hint="default" w:ascii="Times New Roman" w:hAnsi="Times New Roman" w:eastAsia="굴림" w:cs="Times New Roman"/>
          <w:color w:val="222222"/>
          <w:lang w:val="en-GB" w:eastAsia="ko-KR"/>
        </w:rPr>
        <w:t>.</w:t>
      </w:r>
    </w:p>
    <w:sectPr>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SimHei">
    <w:altName w:val="SimSun"/>
    <w:panose1 w:val="02010600030101010101"/>
    <w:charset w:val="86"/>
    <w:family w:val="modern"/>
    <w:pitch w:val="default"/>
    <w:sig w:usb0="00000000" w:usb1="00000000"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돋움">
    <w:altName w:val="Malgun Gothic"/>
    <w:panose1 w:val="020B0600000101010101"/>
    <w:charset w:val="81"/>
    <w:family w:val="moder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等线">
    <w:altName w:val="Microsoft YaHei"/>
    <w:panose1 w:val="02010600030101010101"/>
    <w:charset w:val="86"/>
    <w:family w:val="auto"/>
    <w:pitch w:val="default"/>
    <w:sig w:usb0="00000000" w:usb1="00000000" w:usb2="00000016" w:usb3="00000000" w:csb0="0004000F" w:csb1="00000000"/>
  </w:font>
  <w:font w:name="굴림">
    <w:altName w:val="Malgun Gothic"/>
    <w:panose1 w:val="020B0600000101010101"/>
    <w:charset w:val="81"/>
    <w:family w:val="moder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C9462A"/>
    <w:multiLevelType w:val="singleLevel"/>
    <w:tmpl w:val="CCC9462A"/>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D7D6B54B"/>
    <w:multiLevelType w:val="singleLevel"/>
    <w:tmpl w:val="D7D6B54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1CC5E7B6"/>
    <w:multiLevelType w:val="singleLevel"/>
    <w:tmpl w:val="1CC5E7B6"/>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8C32635"/>
    <w:multiLevelType w:val="multilevel"/>
    <w:tmpl w:val="78C32635"/>
    <w:lvl w:ilvl="0" w:tentative="0">
      <w:start w:val="3"/>
      <w:numFmt w:val="decimal"/>
      <w:lvlText w:val="%1."/>
      <w:lvlJc w:val="left"/>
      <w:pPr>
        <w:tabs>
          <w:tab w:val="left" w:pos="360"/>
        </w:tabs>
        <w:ind w:left="360" w:hanging="360"/>
      </w:pPr>
      <w:rPr>
        <w:rFonts w:hint="default"/>
        <w:lang w:val="en-GB"/>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B5A"/>
    <w:rsid w:val="00067B68"/>
    <w:rsid w:val="00067BCE"/>
    <w:rsid w:val="00067FCD"/>
    <w:rsid w:val="00070125"/>
    <w:rsid w:val="000706FF"/>
    <w:rsid w:val="00071007"/>
    <w:rsid w:val="00071AFC"/>
    <w:rsid w:val="00071B51"/>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49DB"/>
    <w:rsid w:val="000D4EBD"/>
    <w:rsid w:val="000D4F3F"/>
    <w:rsid w:val="000D76AB"/>
    <w:rsid w:val="000E0486"/>
    <w:rsid w:val="000E0822"/>
    <w:rsid w:val="000E0C5C"/>
    <w:rsid w:val="000E1865"/>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6500"/>
    <w:rsid w:val="000E6C49"/>
    <w:rsid w:val="000E6C71"/>
    <w:rsid w:val="000E750A"/>
    <w:rsid w:val="000E7611"/>
    <w:rsid w:val="000E7E46"/>
    <w:rsid w:val="000E7F6F"/>
    <w:rsid w:val="000F031B"/>
    <w:rsid w:val="000F0CEB"/>
    <w:rsid w:val="000F1678"/>
    <w:rsid w:val="000F1E26"/>
    <w:rsid w:val="000F2627"/>
    <w:rsid w:val="000F2802"/>
    <w:rsid w:val="000F2D15"/>
    <w:rsid w:val="000F3126"/>
    <w:rsid w:val="000F3616"/>
    <w:rsid w:val="000F4001"/>
    <w:rsid w:val="000F4076"/>
    <w:rsid w:val="000F416D"/>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2856"/>
    <w:rsid w:val="00113070"/>
    <w:rsid w:val="0011327C"/>
    <w:rsid w:val="00113356"/>
    <w:rsid w:val="00113BE3"/>
    <w:rsid w:val="00113DDD"/>
    <w:rsid w:val="0011465D"/>
    <w:rsid w:val="00114B94"/>
    <w:rsid w:val="00114BDB"/>
    <w:rsid w:val="001157BE"/>
    <w:rsid w:val="0011594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894"/>
    <w:rsid w:val="00123D6B"/>
    <w:rsid w:val="0012404C"/>
    <w:rsid w:val="0012451F"/>
    <w:rsid w:val="00124842"/>
    <w:rsid w:val="00124868"/>
    <w:rsid w:val="00124F0A"/>
    <w:rsid w:val="00125A37"/>
    <w:rsid w:val="00126BF1"/>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903DC"/>
    <w:rsid w:val="00190906"/>
    <w:rsid w:val="00190F83"/>
    <w:rsid w:val="00191028"/>
    <w:rsid w:val="0019133B"/>
    <w:rsid w:val="00191864"/>
    <w:rsid w:val="00192408"/>
    <w:rsid w:val="00192500"/>
    <w:rsid w:val="0019250C"/>
    <w:rsid w:val="00192555"/>
    <w:rsid w:val="00192CCB"/>
    <w:rsid w:val="00192F5B"/>
    <w:rsid w:val="00193699"/>
    <w:rsid w:val="00193E12"/>
    <w:rsid w:val="00194700"/>
    <w:rsid w:val="0019474E"/>
    <w:rsid w:val="00194D8F"/>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3088"/>
    <w:rsid w:val="002C30DB"/>
    <w:rsid w:val="002C3510"/>
    <w:rsid w:val="002C3D7D"/>
    <w:rsid w:val="002C4830"/>
    <w:rsid w:val="002C49AB"/>
    <w:rsid w:val="002C5197"/>
    <w:rsid w:val="002C5294"/>
    <w:rsid w:val="002C5E32"/>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73B6"/>
    <w:rsid w:val="00317A23"/>
    <w:rsid w:val="00317D83"/>
    <w:rsid w:val="003203E5"/>
    <w:rsid w:val="003203FC"/>
    <w:rsid w:val="00320B1A"/>
    <w:rsid w:val="00321634"/>
    <w:rsid w:val="00321E59"/>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66D"/>
    <w:rsid w:val="00395B5E"/>
    <w:rsid w:val="00395E62"/>
    <w:rsid w:val="0039678C"/>
    <w:rsid w:val="0039679C"/>
    <w:rsid w:val="003967BD"/>
    <w:rsid w:val="003968FF"/>
    <w:rsid w:val="0039723E"/>
    <w:rsid w:val="003974AB"/>
    <w:rsid w:val="00397C16"/>
    <w:rsid w:val="00397D51"/>
    <w:rsid w:val="00397E4C"/>
    <w:rsid w:val="003A07FF"/>
    <w:rsid w:val="003A08CB"/>
    <w:rsid w:val="003A094D"/>
    <w:rsid w:val="003A0BF6"/>
    <w:rsid w:val="003A160A"/>
    <w:rsid w:val="003A20E5"/>
    <w:rsid w:val="003A22AB"/>
    <w:rsid w:val="003A249D"/>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50B7"/>
    <w:rsid w:val="003F58F1"/>
    <w:rsid w:val="003F6059"/>
    <w:rsid w:val="003F6F2F"/>
    <w:rsid w:val="003F7399"/>
    <w:rsid w:val="003F7AEA"/>
    <w:rsid w:val="00400BBA"/>
    <w:rsid w:val="00400D2D"/>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D00"/>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C6C"/>
    <w:rsid w:val="00482045"/>
    <w:rsid w:val="00482512"/>
    <w:rsid w:val="00482949"/>
    <w:rsid w:val="00482B79"/>
    <w:rsid w:val="00483F0A"/>
    <w:rsid w:val="0048432E"/>
    <w:rsid w:val="00485E44"/>
    <w:rsid w:val="00485E4B"/>
    <w:rsid w:val="004860CA"/>
    <w:rsid w:val="004862D3"/>
    <w:rsid w:val="0048682C"/>
    <w:rsid w:val="00487371"/>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15F"/>
    <w:rsid w:val="004A2213"/>
    <w:rsid w:val="004A434A"/>
    <w:rsid w:val="004A445E"/>
    <w:rsid w:val="004A4563"/>
    <w:rsid w:val="004A564C"/>
    <w:rsid w:val="004A5A42"/>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4AC3"/>
    <w:rsid w:val="004B4C1C"/>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61B"/>
    <w:rsid w:val="00505A30"/>
    <w:rsid w:val="00505B6C"/>
    <w:rsid w:val="00506655"/>
    <w:rsid w:val="00507487"/>
    <w:rsid w:val="00507982"/>
    <w:rsid w:val="00507D4E"/>
    <w:rsid w:val="0051008A"/>
    <w:rsid w:val="005106D6"/>
    <w:rsid w:val="005108E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5150"/>
    <w:rsid w:val="005453D4"/>
    <w:rsid w:val="00545BCA"/>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7E6"/>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CFB"/>
    <w:rsid w:val="006D1A19"/>
    <w:rsid w:val="006D1C8B"/>
    <w:rsid w:val="006D1D0F"/>
    <w:rsid w:val="006D2255"/>
    <w:rsid w:val="006D24E2"/>
    <w:rsid w:val="006D27A0"/>
    <w:rsid w:val="006D287C"/>
    <w:rsid w:val="006D2C0C"/>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87D"/>
    <w:rsid w:val="0075734C"/>
    <w:rsid w:val="00757560"/>
    <w:rsid w:val="007576A9"/>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752"/>
    <w:rsid w:val="00763861"/>
    <w:rsid w:val="00763C43"/>
    <w:rsid w:val="00763DB9"/>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261"/>
    <w:rsid w:val="007E4A91"/>
    <w:rsid w:val="007E4EB3"/>
    <w:rsid w:val="007E592B"/>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6133"/>
    <w:rsid w:val="00816388"/>
    <w:rsid w:val="008167B4"/>
    <w:rsid w:val="00816910"/>
    <w:rsid w:val="0081743A"/>
    <w:rsid w:val="00817AF8"/>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795"/>
    <w:rsid w:val="008532C4"/>
    <w:rsid w:val="008547EC"/>
    <w:rsid w:val="00854A4B"/>
    <w:rsid w:val="00854E06"/>
    <w:rsid w:val="00854FA7"/>
    <w:rsid w:val="0085516F"/>
    <w:rsid w:val="00855533"/>
    <w:rsid w:val="00856336"/>
    <w:rsid w:val="00856799"/>
    <w:rsid w:val="00856840"/>
    <w:rsid w:val="008569BA"/>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6E4"/>
    <w:rsid w:val="008D28DA"/>
    <w:rsid w:val="008D2A3B"/>
    <w:rsid w:val="008D2ECA"/>
    <w:rsid w:val="008D30A2"/>
    <w:rsid w:val="008D320E"/>
    <w:rsid w:val="008D3F0B"/>
    <w:rsid w:val="008D49A7"/>
    <w:rsid w:val="008D4F73"/>
    <w:rsid w:val="008D5161"/>
    <w:rsid w:val="008D5245"/>
    <w:rsid w:val="008D5935"/>
    <w:rsid w:val="008D5B29"/>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72FC"/>
    <w:rsid w:val="009A7CCA"/>
    <w:rsid w:val="009B06A1"/>
    <w:rsid w:val="009B08C1"/>
    <w:rsid w:val="009B0CD9"/>
    <w:rsid w:val="009B1265"/>
    <w:rsid w:val="009B1422"/>
    <w:rsid w:val="009B232F"/>
    <w:rsid w:val="009B23B2"/>
    <w:rsid w:val="009B2961"/>
    <w:rsid w:val="009B3198"/>
    <w:rsid w:val="009B42EE"/>
    <w:rsid w:val="009B488A"/>
    <w:rsid w:val="009B4BF9"/>
    <w:rsid w:val="009B541C"/>
    <w:rsid w:val="009B57A5"/>
    <w:rsid w:val="009B5D6A"/>
    <w:rsid w:val="009B5FA1"/>
    <w:rsid w:val="009B6214"/>
    <w:rsid w:val="009B692D"/>
    <w:rsid w:val="009B69F6"/>
    <w:rsid w:val="009B7702"/>
    <w:rsid w:val="009B78F6"/>
    <w:rsid w:val="009B7F7E"/>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AE2"/>
    <w:rsid w:val="00A44F44"/>
    <w:rsid w:val="00A4513F"/>
    <w:rsid w:val="00A456B4"/>
    <w:rsid w:val="00A4592C"/>
    <w:rsid w:val="00A45942"/>
    <w:rsid w:val="00A46465"/>
    <w:rsid w:val="00A507A8"/>
    <w:rsid w:val="00A508AA"/>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2221"/>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11B0"/>
    <w:rsid w:val="00B91789"/>
    <w:rsid w:val="00B91D0F"/>
    <w:rsid w:val="00B91E10"/>
    <w:rsid w:val="00B92039"/>
    <w:rsid w:val="00B92AB8"/>
    <w:rsid w:val="00B930B0"/>
    <w:rsid w:val="00B93249"/>
    <w:rsid w:val="00B93D5A"/>
    <w:rsid w:val="00B93F4E"/>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147A"/>
    <w:rsid w:val="00C215C8"/>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39A2"/>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2E2A"/>
    <w:rsid w:val="00CF305E"/>
    <w:rsid w:val="00CF32D8"/>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4FC"/>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E002FD"/>
    <w:rsid w:val="00E0069B"/>
    <w:rsid w:val="00E00BB4"/>
    <w:rsid w:val="00E00E82"/>
    <w:rsid w:val="00E01038"/>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D59"/>
    <w:rsid w:val="00E61D8B"/>
    <w:rsid w:val="00E629F3"/>
    <w:rsid w:val="00E62A66"/>
    <w:rsid w:val="00E63940"/>
    <w:rsid w:val="00E64439"/>
    <w:rsid w:val="00E64472"/>
    <w:rsid w:val="00E64661"/>
    <w:rsid w:val="00E65307"/>
    <w:rsid w:val="00E65CF5"/>
    <w:rsid w:val="00E66C5C"/>
    <w:rsid w:val="00E66CC4"/>
    <w:rsid w:val="00E67180"/>
    <w:rsid w:val="00E67801"/>
    <w:rsid w:val="00E67B6E"/>
    <w:rsid w:val="00E67C65"/>
    <w:rsid w:val="00E7015D"/>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7E97"/>
    <w:rsid w:val="00F21205"/>
    <w:rsid w:val="00F216CF"/>
    <w:rsid w:val="00F2170E"/>
    <w:rsid w:val="00F21A0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84B"/>
    <w:rsid w:val="00F60B73"/>
    <w:rsid w:val="00F6165F"/>
    <w:rsid w:val="00F61ACA"/>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30CD"/>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37CA"/>
    <w:rsid w:val="00FE3A57"/>
    <w:rsid w:val="00FE3C0B"/>
    <w:rsid w:val="00FE3FCE"/>
    <w:rsid w:val="00FE416E"/>
    <w:rsid w:val="00FE448E"/>
    <w:rsid w:val="00FE451D"/>
    <w:rsid w:val="00FE4529"/>
    <w:rsid w:val="00FE4689"/>
    <w:rsid w:val="00FE4A2A"/>
    <w:rsid w:val="00FE51D4"/>
    <w:rsid w:val="00FE5587"/>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 w:val="06FA0280"/>
    <w:rsid w:val="08D03299"/>
    <w:rsid w:val="090C7286"/>
    <w:rsid w:val="0BE04B62"/>
    <w:rsid w:val="10F0230C"/>
    <w:rsid w:val="14FE50FD"/>
    <w:rsid w:val="19373C03"/>
    <w:rsid w:val="1A6A4BF8"/>
    <w:rsid w:val="26133BD0"/>
    <w:rsid w:val="33887EC7"/>
    <w:rsid w:val="34653D70"/>
    <w:rsid w:val="490C56B0"/>
    <w:rsid w:val="4B742DD8"/>
    <w:rsid w:val="4F7B4A8A"/>
    <w:rsid w:val="52C673C7"/>
    <w:rsid w:val="5317328F"/>
    <w:rsid w:val="53281780"/>
    <w:rsid w:val="53372A8C"/>
    <w:rsid w:val="57D911B1"/>
    <w:rsid w:val="635A1AD3"/>
    <w:rsid w:val="6BEB3C4D"/>
    <w:rsid w:val="6E8E69DF"/>
    <w:rsid w:val="6F2E57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lang w:val="en-US"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2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w:basedOn w:val="1"/>
    <w:link w:val="124"/>
    <w:qFormat/>
    <w:uiPriority w:val="0"/>
  </w:style>
  <w:style w:type="paragraph" w:styleId="16">
    <w:name w:val="Body Text 2"/>
    <w:basedOn w:val="1"/>
    <w:qFormat/>
    <w:uiPriority w:val="0"/>
    <w:pPr>
      <w:overflowPunct/>
      <w:autoSpaceDE/>
      <w:autoSpaceDN/>
      <w:adjustRightInd/>
      <w:textAlignment w:val="auto"/>
    </w:pPr>
    <w:rPr>
      <w:rFonts w:eastAsia="MS Mincho"/>
      <w:color w:val="FFFF00"/>
      <w:lang w:eastAsia="ja-JP"/>
    </w:rPr>
  </w:style>
  <w:style w:type="paragraph" w:styleId="17">
    <w:name w:val="caption"/>
    <w:basedOn w:val="1"/>
    <w:next w:val="1"/>
    <w:qFormat/>
    <w:uiPriority w:val="0"/>
    <w:rPr>
      <w:rFonts w:ascii="Arial" w:hAnsi="Arial" w:eastAsia="SimHei" w:cs="Arial"/>
    </w:rPr>
  </w:style>
  <w:style w:type="character" w:styleId="18">
    <w:name w:val="annotation reference"/>
    <w:qFormat/>
    <w:uiPriority w:val="99"/>
    <w:rPr>
      <w:sz w:val="16"/>
    </w:rPr>
  </w:style>
  <w:style w:type="paragraph" w:styleId="19">
    <w:name w:val="annotation text"/>
    <w:basedOn w:val="1"/>
    <w:link w:val="106"/>
    <w:qFormat/>
    <w:uiPriority w:val="99"/>
    <w:pPr>
      <w:overflowPunct/>
      <w:autoSpaceDE/>
      <w:autoSpaceDN/>
      <w:adjustRightInd/>
      <w:textAlignment w:val="auto"/>
    </w:pPr>
    <w:rPr>
      <w:rFonts w:eastAsia="MS Mincho"/>
    </w:rPr>
  </w:style>
  <w:style w:type="paragraph" w:styleId="20">
    <w:name w:val="annotation subject"/>
    <w:basedOn w:val="19"/>
    <w:next w:val="19"/>
    <w:semiHidden/>
    <w:qFormat/>
    <w:uiPriority w:val="0"/>
    <w:pPr>
      <w:overflowPunct w:val="0"/>
      <w:autoSpaceDE w:val="0"/>
      <w:autoSpaceDN w:val="0"/>
      <w:adjustRightInd w:val="0"/>
      <w:textAlignment w:val="baseline"/>
    </w:pPr>
    <w:rPr>
      <w:rFonts w:eastAsia="Times New Roman"/>
      <w:b/>
      <w:bCs/>
    </w:rPr>
  </w:style>
  <w:style w:type="paragraph" w:styleId="21">
    <w:name w:val="Document Map"/>
    <w:basedOn w:val="1"/>
    <w:semiHidden/>
    <w:qFormat/>
    <w:uiPriority w:val="0"/>
    <w:pPr>
      <w:shd w:val="clear" w:color="auto" w:fill="000080"/>
    </w:pPr>
  </w:style>
  <w:style w:type="character" w:styleId="22">
    <w:name w:val="Emphasis"/>
    <w:basedOn w:val="12"/>
    <w:qFormat/>
    <w:uiPriority w:val="0"/>
    <w:rPr>
      <w:i/>
      <w:iCs/>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US" w:eastAsia="en-US" w:bidi="ar-SA"/>
    </w:rPr>
  </w:style>
  <w:style w:type="character" w:styleId="25">
    <w:name w:val="footnote reference"/>
    <w:semiHidden/>
    <w:qFormat/>
    <w:uiPriority w:val="0"/>
    <w:rPr>
      <w:b/>
      <w:position w:val="6"/>
      <w:sz w:val="16"/>
    </w:rPr>
  </w:style>
  <w:style w:type="paragraph" w:styleId="26">
    <w:name w:val="footnote text"/>
    <w:basedOn w:val="1"/>
    <w:semiHidden/>
    <w:qFormat/>
    <w:uiPriority w:val="0"/>
    <w:pPr>
      <w:keepLines/>
      <w:spacing w:after="0"/>
      <w:ind w:left="454" w:hanging="454"/>
    </w:pPr>
    <w:rPr>
      <w:sz w:val="16"/>
    </w:rPr>
  </w:style>
  <w:style w:type="character" w:styleId="27">
    <w:name w:val="Hyperlink"/>
    <w:unhideWhenUsed/>
    <w:qFormat/>
    <w:uiPriority w:val="0"/>
    <w:rPr>
      <w:color w:val="0000FF"/>
      <w:u w:val="single"/>
    </w:rPr>
  </w:style>
  <w:style w:type="paragraph" w:styleId="28">
    <w:name w:val="index 1"/>
    <w:basedOn w:val="1"/>
    <w:semiHidden/>
    <w:qFormat/>
    <w:uiPriority w:val="0"/>
    <w:pPr>
      <w:keepLines/>
      <w:spacing w:after="0"/>
    </w:pPr>
  </w:style>
  <w:style w:type="paragraph" w:styleId="29">
    <w:name w:val="index 2"/>
    <w:basedOn w:val="28"/>
    <w:semiHidden/>
    <w:qFormat/>
    <w:uiPriority w:val="0"/>
    <w:pPr>
      <w:ind w:left="284"/>
    </w:pPr>
  </w:style>
  <w:style w:type="paragraph" w:styleId="30">
    <w:name w:val="List"/>
    <w:basedOn w:val="1"/>
    <w:qFormat/>
    <w:uiPriority w:val="0"/>
    <w:pPr>
      <w:ind w:left="568" w:hanging="284"/>
    </w:pPr>
  </w:style>
  <w:style w:type="paragraph" w:styleId="31">
    <w:name w:val="List 2"/>
    <w:basedOn w:val="30"/>
    <w:qFormat/>
    <w:uiPriority w:val="0"/>
    <w:pPr>
      <w:ind w:left="851"/>
    </w:pPr>
  </w:style>
  <w:style w:type="paragraph" w:styleId="32">
    <w:name w:val="List 3"/>
    <w:basedOn w:val="31"/>
    <w:qFormat/>
    <w:uiPriority w:val="0"/>
    <w:pPr>
      <w:ind w:left="1135"/>
    </w:pPr>
  </w:style>
  <w:style w:type="paragraph" w:styleId="33">
    <w:name w:val="List 4"/>
    <w:basedOn w:val="32"/>
    <w:qFormat/>
    <w:uiPriority w:val="0"/>
    <w:pPr>
      <w:ind w:left="1418"/>
    </w:pPr>
  </w:style>
  <w:style w:type="paragraph" w:styleId="34">
    <w:name w:val="List 5"/>
    <w:basedOn w:val="33"/>
    <w:qFormat/>
    <w:uiPriority w:val="0"/>
    <w:pPr>
      <w:ind w:left="1702"/>
    </w:pPr>
  </w:style>
  <w:style w:type="paragraph" w:styleId="35">
    <w:name w:val="List Bullet"/>
    <w:basedOn w:val="30"/>
    <w:qFormat/>
    <w:uiPriority w:val="0"/>
    <w:pPr>
      <w:numPr>
        <w:ilvl w:val="0"/>
        <w:numId w:val="0"/>
      </w:numPr>
    </w:pPr>
  </w:style>
  <w:style w:type="paragraph" w:styleId="36">
    <w:name w:val="List Bullet 2"/>
    <w:basedOn w:val="35"/>
    <w:qFormat/>
    <w:uiPriority w:val="0"/>
    <w:pPr>
      <w:ind w:left="851"/>
    </w:pPr>
  </w:style>
  <w:style w:type="paragraph" w:styleId="37">
    <w:name w:val="List Bullet 3"/>
    <w:basedOn w:val="36"/>
    <w:qFormat/>
    <w:uiPriority w:val="0"/>
    <w:pPr>
      <w:ind w:left="1135"/>
    </w:pPr>
  </w:style>
  <w:style w:type="paragraph" w:styleId="38">
    <w:name w:val="List Bullet 4"/>
    <w:basedOn w:val="37"/>
    <w:qFormat/>
    <w:uiPriority w:val="0"/>
    <w:pPr>
      <w:ind w:left="1418"/>
    </w:pPr>
  </w:style>
  <w:style w:type="paragraph" w:styleId="39">
    <w:name w:val="List Bullet 5"/>
    <w:basedOn w:val="38"/>
    <w:qFormat/>
    <w:uiPriority w:val="0"/>
    <w:pPr>
      <w:ind w:left="1702"/>
    </w:pPr>
  </w:style>
  <w:style w:type="paragraph" w:styleId="40">
    <w:name w:val="List Number"/>
    <w:basedOn w:val="30"/>
    <w:qFormat/>
    <w:uiPriority w:val="0"/>
    <w:pPr>
      <w:numPr>
        <w:ilvl w:val="0"/>
        <w:numId w:val="0"/>
      </w:numPr>
    </w:pPr>
  </w:style>
  <w:style w:type="paragraph" w:styleId="41">
    <w:name w:val="List Number 2"/>
    <w:basedOn w:val="40"/>
    <w:qFormat/>
    <w:uiPriority w:val="0"/>
    <w:pPr>
      <w:ind w:left="851"/>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43">
    <w:name w:val="Strong"/>
    <w:qFormat/>
    <w:uiPriority w:val="0"/>
    <w:rPr>
      <w:b/>
      <w:bCs/>
    </w:rPr>
  </w:style>
  <w:style w:type="table" w:styleId="44">
    <w:name w:val="Table Grid"/>
    <w:basedOn w:val="13"/>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itle"/>
    <w:basedOn w:val="1"/>
    <w:next w:val="1"/>
    <w:link w:val="107"/>
    <w:qFormat/>
    <w:uiPriority w:val="0"/>
    <w:pPr>
      <w:spacing w:before="240" w:after="120"/>
      <w:jc w:val="center"/>
      <w:outlineLvl w:val="0"/>
    </w:pPr>
    <w:rPr>
      <w:rFonts w:ascii="Malgun Gothic" w:hAnsi="Malgun Gothic" w:eastAsia="돋움" w:cs="Times New Roman"/>
      <w:b/>
      <w:bCs/>
      <w:sz w:val="32"/>
      <w:szCs w:val="32"/>
    </w:rPr>
  </w:style>
  <w:style w:type="paragraph" w:styleId="46">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SimSun" w:cs="Times New Roman"/>
      <w:sz w:val="22"/>
      <w:lang w:val="en-US" w:eastAsia="en-US" w:bidi="ar-SA"/>
    </w:rPr>
  </w:style>
  <w:style w:type="paragraph" w:styleId="47">
    <w:name w:val="toc 2"/>
    <w:basedOn w:val="46"/>
    <w:semiHidden/>
    <w:qFormat/>
    <w:uiPriority w:val="0"/>
    <w:pPr>
      <w:keepNext w:val="0"/>
      <w:spacing w:before="0"/>
      <w:ind w:left="851" w:hanging="851"/>
    </w:pPr>
    <w:rPr>
      <w:sz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rPr>
  </w:style>
  <w:style w:type="paragraph" w:styleId="54">
    <w:name w:val="toc 9"/>
    <w:basedOn w:val="53"/>
    <w:semiHidden/>
    <w:qFormat/>
    <w:uiPriority w:val="0"/>
    <w:pPr>
      <w:ind w:left="1418" w:hanging="1418"/>
    </w:p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57">
    <w:name w:val="TT"/>
    <w:basedOn w:val="2"/>
    <w:next w:val="1"/>
    <w:qFormat/>
    <w:uiPriority w:val="0"/>
    <w:pPr>
      <w:outlineLvl w:val="9"/>
    </w:pPr>
  </w:style>
  <w:style w:type="paragraph" w:customStyle="1" w:styleId="58">
    <w:name w:val="TAH"/>
    <w:basedOn w:val="59"/>
    <w:link w:val="100"/>
    <w:qFormat/>
    <w:uiPriority w:val="0"/>
    <w:rPr>
      <w:b/>
    </w:rPr>
  </w:style>
  <w:style w:type="paragraph" w:customStyle="1" w:styleId="59">
    <w:name w:val="TAC"/>
    <w:basedOn w:val="60"/>
    <w:link w:val="101"/>
    <w:qFormat/>
    <w:uiPriority w:val="0"/>
    <w:pPr>
      <w:jc w:val="center"/>
    </w:pPr>
  </w:style>
  <w:style w:type="paragraph" w:customStyle="1" w:styleId="60">
    <w:name w:val="TAL"/>
    <w:basedOn w:val="1"/>
    <w:link w:val="99"/>
    <w:qFormat/>
    <w:uiPriority w:val="0"/>
    <w:pPr>
      <w:keepNext/>
      <w:keepLines/>
      <w:spacing w:after="0"/>
    </w:pPr>
    <w:rPr>
      <w:rFonts w:ascii="Arial" w:hAnsi="Arial"/>
      <w:sz w:val="18"/>
    </w:rPr>
  </w:style>
  <w:style w:type="paragraph" w:customStyle="1" w:styleId="61">
    <w:name w:val="TF"/>
    <w:basedOn w:val="62"/>
    <w:link w:val="104"/>
    <w:qFormat/>
    <w:uiPriority w:val="0"/>
    <w:pPr>
      <w:keepNext w:val="0"/>
      <w:spacing w:before="0" w:after="240"/>
    </w:pPr>
  </w:style>
  <w:style w:type="paragraph" w:customStyle="1" w:styleId="62">
    <w:name w:val="TH"/>
    <w:basedOn w:val="1"/>
    <w:link w:val="103"/>
    <w:qFormat/>
    <w:uiPriority w:val="0"/>
    <w:pPr>
      <w:keepNext/>
      <w:keepLines/>
      <w:spacing w:before="60"/>
      <w:jc w:val="center"/>
    </w:pPr>
    <w:rPr>
      <w:rFonts w:ascii="Arial" w:hAnsi="Arial"/>
      <w:b/>
    </w:rPr>
  </w:style>
  <w:style w:type="paragraph" w:customStyle="1" w:styleId="63">
    <w:name w:val="NO"/>
    <w:basedOn w:val="1"/>
    <w:link w:val="11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SimSun" w:cs="Times New Roman"/>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US"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1">
    <w:name w:val="Editor's Note"/>
    <w:basedOn w:val="63"/>
    <w:link w:val="109"/>
    <w:qFormat/>
    <w:uiPriority w:val="0"/>
    <w:rPr>
      <w:color w:val="FF0000"/>
    </w:rPr>
  </w:style>
  <w:style w:type="paragraph" w:customStyle="1" w:styleId="82">
    <w:name w:val="B1"/>
    <w:basedOn w:val="30"/>
    <w:link w:val="94"/>
    <w:qFormat/>
    <w:uiPriority w:val="0"/>
  </w:style>
  <w:style w:type="paragraph" w:customStyle="1" w:styleId="83">
    <w:name w:val="B2"/>
    <w:basedOn w:val="31"/>
    <w:link w:val="95"/>
    <w:qFormat/>
    <w:uiPriority w:val="0"/>
  </w:style>
  <w:style w:type="paragraph" w:customStyle="1" w:styleId="84">
    <w:name w:val="B3"/>
    <w:basedOn w:val="32"/>
    <w:link w:val="96"/>
    <w:qFormat/>
    <w:uiPriority w:val="0"/>
  </w:style>
  <w:style w:type="paragraph" w:customStyle="1" w:styleId="85">
    <w:name w:val="B4"/>
    <w:basedOn w:val="33"/>
    <w:qFormat/>
    <w:uiPriority w:val="0"/>
  </w:style>
  <w:style w:type="paragraph" w:customStyle="1" w:styleId="86">
    <w:name w:val="B5"/>
    <w:basedOn w:val="34"/>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S Mincho" w:cs="Times New Roman"/>
      <w:lang w:val="en-GB" w:eastAsia="en-US" w:bidi="ar-SA"/>
    </w:rPr>
  </w:style>
  <w:style w:type="paragraph" w:customStyle="1" w:styleId="89">
    <w:name w:val="00 BodyText"/>
    <w:basedOn w:val="1"/>
    <w:qFormat/>
    <w:uiPriority w:val="0"/>
    <w:pPr>
      <w:overflowPunct/>
      <w:autoSpaceDE/>
      <w:autoSpaceDN/>
      <w:adjustRightInd/>
      <w:spacing w:after="220"/>
      <w:textAlignment w:val="auto"/>
    </w:pPr>
    <w:rPr>
      <w:rFonts w:ascii="Arial" w:hAnsi="Arial"/>
      <w:sz w:val="22"/>
      <w:lang w:val="en-US"/>
    </w:rPr>
  </w:style>
  <w:style w:type="paragraph" w:customStyle="1" w:styleId="90">
    <w:name w:val="11 BodyText"/>
    <w:basedOn w:val="1"/>
    <w:qFormat/>
    <w:uiPriority w:val="0"/>
    <w:pPr>
      <w:overflowPunct/>
      <w:autoSpaceDE/>
      <w:autoSpaceDN/>
      <w:adjustRightInd/>
      <w:spacing w:after="220"/>
      <w:ind w:left="1298"/>
      <w:textAlignment w:val="auto"/>
    </w:pPr>
    <w:rPr>
      <w:rFonts w:ascii="Arial" w:hAnsi="Arial"/>
      <w:sz w:val="22"/>
      <w:lang w:val="en-US"/>
    </w:rPr>
  </w:style>
  <w:style w:type="paragraph" w:customStyle="1" w:styleId="91">
    <w:name w:val="B6"/>
    <w:basedOn w:val="86"/>
    <w:qFormat/>
    <w:uiPriority w:val="0"/>
  </w:style>
  <w:style w:type="paragraph" w:customStyle="1" w:styleId="92">
    <w:name w:val="和"/>
    <w:basedOn w:val="1"/>
    <w:qFormat/>
    <w:uiPriority w:val="0"/>
    <w:pPr>
      <w:jc w:val="both"/>
    </w:pPr>
    <w:rPr>
      <w:lang w:eastAsia="zh-CN"/>
    </w:rPr>
  </w:style>
  <w:style w:type="paragraph" w:customStyle="1" w:styleId="93">
    <w:name w:val="_Style 91"/>
    <w:hidden/>
    <w:semiHidden/>
    <w:qFormat/>
    <w:uiPriority w:val="99"/>
    <w:rPr>
      <w:rFonts w:ascii="Times New Roman" w:hAnsi="Times New Roman" w:eastAsia="SimSun" w:cs="Times New Roman"/>
      <w:lang w:val="en-US" w:eastAsia="en-US" w:bidi="ar-SA"/>
    </w:rPr>
  </w:style>
  <w:style w:type="character" w:customStyle="1" w:styleId="94">
    <w:name w:val="B1 Char"/>
    <w:link w:val="82"/>
    <w:qFormat/>
    <w:uiPriority w:val="0"/>
    <w:rPr>
      <w:rFonts w:ascii="Times New Roman" w:hAnsi="Times New Roman"/>
      <w:lang w:eastAsia="en-US"/>
    </w:rPr>
  </w:style>
  <w:style w:type="character" w:customStyle="1" w:styleId="95">
    <w:name w:val="B2 Car"/>
    <w:link w:val="83"/>
    <w:qFormat/>
    <w:uiPriority w:val="0"/>
    <w:rPr>
      <w:rFonts w:ascii="Times New Roman" w:hAnsi="Times New Roman"/>
      <w:lang w:eastAsia="en-US"/>
    </w:rPr>
  </w:style>
  <w:style w:type="character" w:customStyle="1" w:styleId="96">
    <w:name w:val="B3 Char"/>
    <w:link w:val="84"/>
    <w:qFormat/>
    <w:uiPriority w:val="0"/>
    <w:rPr>
      <w:rFonts w:ascii="Times New Roman" w:hAnsi="Times New Roman"/>
      <w:lang w:eastAsia="en-US"/>
    </w:rPr>
  </w:style>
  <w:style w:type="paragraph" w:styleId="97">
    <w:name w:val="Intense Quote"/>
    <w:basedOn w:val="1"/>
    <w:next w:val="1"/>
    <w:link w:val="98"/>
    <w:qFormat/>
    <w:uiPriority w:val="30"/>
    <w:pPr>
      <w:pBdr>
        <w:bottom w:val="single" w:color="4F81BD" w:sz="4" w:space="4"/>
      </w:pBdr>
      <w:spacing w:before="200" w:after="280"/>
      <w:ind w:left="936" w:right="936"/>
    </w:pPr>
    <w:rPr>
      <w:b/>
      <w:bCs/>
      <w:i/>
      <w:iCs/>
      <w:color w:val="4F81BD"/>
    </w:rPr>
  </w:style>
  <w:style w:type="character" w:customStyle="1" w:styleId="98">
    <w:name w:val="강한 인용 Char"/>
    <w:link w:val="97"/>
    <w:qFormat/>
    <w:uiPriority w:val="30"/>
    <w:rPr>
      <w:rFonts w:ascii="Times New Roman" w:hAnsi="Times New Roman"/>
      <w:b/>
      <w:bCs/>
      <w:i/>
      <w:iCs/>
      <w:color w:val="4F81BD"/>
      <w:lang w:eastAsia="en-US"/>
    </w:rPr>
  </w:style>
  <w:style w:type="character" w:customStyle="1" w:styleId="99">
    <w:name w:val="TAL Char"/>
    <w:link w:val="60"/>
    <w:qFormat/>
    <w:uiPriority w:val="0"/>
    <w:rPr>
      <w:rFonts w:ascii="Arial" w:hAnsi="Arial"/>
      <w:sz w:val="18"/>
      <w:lang w:eastAsia="en-US"/>
    </w:rPr>
  </w:style>
  <w:style w:type="character" w:customStyle="1" w:styleId="100">
    <w:name w:val="TAH Char"/>
    <w:link w:val="58"/>
    <w:qFormat/>
    <w:uiPriority w:val="0"/>
    <w:rPr>
      <w:rFonts w:ascii="Arial" w:hAnsi="Arial"/>
      <w:b/>
      <w:sz w:val="18"/>
      <w:lang w:eastAsia="en-US"/>
    </w:rPr>
  </w:style>
  <w:style w:type="character" w:customStyle="1" w:styleId="101">
    <w:name w:val="TAC Char"/>
    <w:link w:val="59"/>
    <w:qFormat/>
    <w:uiPriority w:val="0"/>
  </w:style>
  <w:style w:type="character" w:customStyle="1" w:styleId="102">
    <w:name w:val="TAL Car"/>
    <w:qFormat/>
    <w:uiPriority w:val="0"/>
    <w:rPr>
      <w:rFonts w:ascii="Arial" w:hAnsi="Arial" w:eastAsia="SimSun"/>
      <w:sz w:val="18"/>
      <w:lang w:val="en-GB" w:eastAsia="en-US" w:bidi="ar-SA"/>
    </w:rPr>
  </w:style>
  <w:style w:type="character" w:customStyle="1" w:styleId="103">
    <w:name w:val="TH Char"/>
    <w:link w:val="62"/>
    <w:qFormat/>
    <w:uiPriority w:val="0"/>
    <w:rPr>
      <w:rFonts w:ascii="Arial" w:hAnsi="Arial"/>
      <w:b/>
      <w:lang w:eastAsia="en-US"/>
    </w:rPr>
  </w:style>
  <w:style w:type="character" w:customStyle="1" w:styleId="104">
    <w:name w:val="TF Char"/>
    <w:link w:val="61"/>
    <w:qFormat/>
    <w:uiPriority w:val="0"/>
    <w:rPr>
      <w:rFonts w:ascii="Arial" w:hAnsi="Arial"/>
      <w:b/>
      <w:lang w:eastAsia="en-US"/>
    </w:rPr>
  </w:style>
  <w:style w:type="paragraph" w:customStyle="1" w:styleId="105">
    <w:name w:val="First Change"/>
    <w:basedOn w:val="1"/>
    <w:qFormat/>
    <w:uiPriority w:val="0"/>
    <w:pPr>
      <w:overflowPunct/>
      <w:autoSpaceDE/>
      <w:autoSpaceDN/>
      <w:adjustRightInd/>
      <w:jc w:val="center"/>
      <w:textAlignment w:val="auto"/>
    </w:pPr>
    <w:rPr>
      <w:color w:val="FF0000"/>
      <w:lang w:val="en-GB"/>
    </w:rPr>
  </w:style>
  <w:style w:type="character" w:customStyle="1" w:styleId="106">
    <w:name w:val="메모 텍스트 Char"/>
    <w:link w:val="19"/>
    <w:qFormat/>
    <w:uiPriority w:val="99"/>
    <w:rPr>
      <w:rFonts w:ascii="Times New Roman" w:hAnsi="Times New Roman" w:eastAsia="MS Mincho"/>
      <w:lang w:eastAsia="en-US"/>
    </w:rPr>
  </w:style>
  <w:style w:type="character" w:customStyle="1" w:styleId="107">
    <w:name w:val="제목 Char"/>
    <w:link w:val="45"/>
    <w:qFormat/>
    <w:uiPriority w:val="0"/>
    <w:rPr>
      <w:rFonts w:ascii="Malgun Gothic" w:hAnsi="Malgun Gothic" w:eastAsia="돋움" w:cs="Times New Roman"/>
      <w:b/>
      <w:bCs/>
      <w:sz w:val="32"/>
      <w:szCs w:val="32"/>
      <w:lang w:eastAsia="en-US"/>
    </w:rPr>
  </w:style>
  <w:style w:type="character" w:customStyle="1" w:styleId="108">
    <w:name w:val="B1 Char1"/>
    <w:qFormat/>
    <w:uiPriority w:val="0"/>
    <w:rPr>
      <w:lang w:val="en-GB" w:eastAsia="en-US" w:bidi="ar-SA"/>
    </w:rPr>
  </w:style>
  <w:style w:type="character" w:customStyle="1" w:styleId="109">
    <w:name w:val="Editor's Note Char"/>
    <w:link w:val="81"/>
    <w:qFormat/>
    <w:uiPriority w:val="0"/>
    <w:rPr>
      <w:rFonts w:ascii="Times New Roman" w:hAnsi="Times New Roman"/>
      <w:color w:val="FF0000"/>
      <w:lang w:eastAsia="en-US"/>
    </w:rPr>
  </w:style>
  <w:style w:type="character" w:customStyle="1" w:styleId="110">
    <w:name w:val="B1 Zchn"/>
    <w:qFormat/>
    <w:locked/>
    <w:uiPriority w:val="0"/>
    <w:rPr>
      <w:lang w:val="en-GB" w:eastAsia="en-US"/>
    </w:rPr>
  </w:style>
  <w:style w:type="character" w:customStyle="1" w:styleId="111">
    <w:name w:val="NO Char"/>
    <w:link w:val="63"/>
    <w:qFormat/>
    <w:uiPriority w:val="0"/>
    <w:rPr>
      <w:rFonts w:ascii="Times New Roman" w:hAnsi="Times New Roman"/>
      <w:lang w:eastAsia="en-US"/>
    </w:rPr>
  </w:style>
  <w:style w:type="character" w:customStyle="1" w:styleId="112">
    <w:name w:val="NO Zchn"/>
    <w:qFormat/>
    <w:uiPriority w:val="0"/>
    <w:rPr>
      <w:lang w:eastAsia="en-US"/>
    </w:rPr>
  </w:style>
  <w:style w:type="character" w:customStyle="1" w:styleId="113">
    <w:name w:val="B2 Char"/>
    <w:qFormat/>
    <w:uiPriority w:val="0"/>
    <w:rPr>
      <w:lang w:val="en-GB" w:eastAsia="en-US"/>
    </w:rPr>
  </w:style>
  <w:style w:type="character" w:customStyle="1" w:styleId="114">
    <w:name w:val="TF Zchn"/>
    <w:qFormat/>
    <w:uiPriority w:val="0"/>
    <w:rPr>
      <w:rFonts w:ascii="Arial" w:hAnsi="Arial"/>
      <w:b/>
      <w:lang w:val="en-GB"/>
    </w:rPr>
  </w:style>
  <w:style w:type="paragraph" w:styleId="115">
    <w:name w:val="List Paragraph"/>
    <w:basedOn w:val="1"/>
    <w:qFormat/>
    <w:uiPriority w:val="34"/>
    <w:pPr>
      <w:widowControl w:val="0"/>
      <w:overflowPunct/>
      <w:spacing w:after="0" w:line="360" w:lineRule="auto"/>
      <w:ind w:firstLine="420" w:firstLineChars="200"/>
      <w:textAlignment w:val="auto"/>
    </w:pPr>
    <w:rPr>
      <w:snapToGrid w:val="0"/>
      <w:sz w:val="21"/>
      <w:szCs w:val="21"/>
      <w:lang w:eastAsia="zh-CN"/>
    </w:rPr>
  </w:style>
  <w:style w:type="character" w:customStyle="1" w:styleId="116">
    <w:name w:val="PL Char"/>
    <w:link w:val="71"/>
    <w:qFormat/>
    <w:uiPriority w:val="0"/>
    <w:rPr>
      <w:rFonts w:ascii="Courier New" w:hAnsi="Courier New"/>
      <w:sz w:val="16"/>
      <w:lang w:eastAsia="en-US"/>
    </w:rPr>
  </w:style>
  <w:style w:type="paragraph" w:customStyle="1" w:styleId="117">
    <w:name w:val="Agreement"/>
    <w:basedOn w:val="1"/>
    <w:next w:val="1"/>
    <w:qFormat/>
    <w:uiPriority w:val="0"/>
    <w:pPr>
      <w:numPr>
        <w:ilvl w:val="0"/>
        <w:numId w:val="1"/>
      </w:numPr>
      <w:overflowPunct/>
      <w:autoSpaceDE/>
      <w:autoSpaceDN/>
      <w:adjustRightInd/>
      <w:spacing w:before="60" w:after="0"/>
      <w:textAlignment w:val="auto"/>
    </w:pPr>
    <w:rPr>
      <w:rFonts w:ascii="Arial" w:hAnsi="Arial" w:eastAsia="MS Mincho"/>
      <w:b/>
      <w:szCs w:val="24"/>
      <w:lang w:val="en-GB" w:eastAsia="en-GB"/>
    </w:rPr>
  </w:style>
  <w:style w:type="table" w:customStyle="1" w:styleId="118">
    <w:name w:val="Table Grid1"/>
    <w:basedOn w:val="13"/>
    <w:qFormat/>
    <w:uiPriority w:val="59"/>
    <w:rPr>
      <w:rFonts w:ascii="Times New Roman" w:hAnsi="Times New Roman"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9">
    <w:name w:val="Doc-text2"/>
    <w:basedOn w:val="1"/>
    <w:link w:val="120"/>
    <w:qFormat/>
    <w:uiPriority w:val="0"/>
    <w:pPr>
      <w:tabs>
        <w:tab w:val="left" w:pos="1622"/>
      </w:tabs>
      <w:overflowPunct/>
      <w:autoSpaceDE/>
      <w:autoSpaceDN/>
      <w:adjustRightInd/>
      <w:spacing w:after="0"/>
      <w:ind w:left="1622" w:hanging="363"/>
      <w:textAlignment w:val="auto"/>
    </w:pPr>
    <w:rPr>
      <w:rFonts w:ascii="Arial" w:hAnsi="Arial" w:eastAsia="MS Mincho"/>
      <w:szCs w:val="24"/>
      <w:lang w:val="en-GB" w:eastAsia="en-GB"/>
    </w:rPr>
  </w:style>
  <w:style w:type="character" w:customStyle="1" w:styleId="120">
    <w:name w:val="Doc-text2 Char"/>
    <w:link w:val="119"/>
    <w:qFormat/>
    <w:uiPriority w:val="0"/>
    <w:rPr>
      <w:rFonts w:ascii="Arial" w:hAnsi="Arial" w:eastAsia="MS Mincho"/>
      <w:szCs w:val="24"/>
      <w:lang w:val="en-GB" w:eastAsia="en-GB"/>
    </w:rPr>
  </w:style>
  <w:style w:type="paragraph" w:customStyle="1" w:styleId="121">
    <w:name w:val="List Paragraph1"/>
    <w:basedOn w:val="1"/>
    <w:qFormat/>
    <w:uiPriority w:val="0"/>
    <w:pPr>
      <w:overflowPunct/>
      <w:autoSpaceDE/>
      <w:autoSpaceDN/>
      <w:adjustRightInd/>
      <w:spacing w:before="100" w:beforeAutospacing="1"/>
      <w:ind w:left="720"/>
      <w:contextualSpacing/>
      <w:textAlignment w:val="auto"/>
    </w:pPr>
    <w:rPr>
      <w:sz w:val="24"/>
      <w:szCs w:val="24"/>
      <w:lang w:eastAsia="zh-CN"/>
    </w:rPr>
  </w:style>
  <w:style w:type="character" w:customStyle="1" w:styleId="122">
    <w:name w:val="제목 4 Char"/>
    <w:link w:val="5"/>
    <w:qFormat/>
    <w:uiPriority w:val="0"/>
    <w:rPr>
      <w:rFonts w:ascii="Arial" w:hAnsi="Arial"/>
      <w:sz w:val="24"/>
      <w:lang w:val="en-GB" w:eastAsia="en-US"/>
    </w:rPr>
  </w:style>
  <w:style w:type="paragraph" w:customStyle="1" w:styleId="123">
    <w:name w:val="PropObs"/>
    <w:basedOn w:val="1"/>
    <w:qFormat/>
    <w:uiPriority w:val="0"/>
    <w:pPr>
      <w:spacing w:before="100" w:beforeAutospacing="1"/>
    </w:pPr>
    <w:rPr>
      <w:rFonts w:cs="Calibri"/>
      <w:b/>
      <w:bCs/>
      <w:sz w:val="22"/>
      <w:szCs w:val="22"/>
      <w:lang w:eastAsia="zh-CN"/>
    </w:rPr>
  </w:style>
  <w:style w:type="character" w:customStyle="1" w:styleId="124">
    <w:name w:val="본문 Char"/>
    <w:link w:val="15"/>
    <w:qFormat/>
    <w:uiPriority w:val="0"/>
    <w:rPr>
      <w:rFonts w:ascii="Times New Roman" w:hAnsi="Times New Roman"/>
      <w:lang w:eastAsia="en-US"/>
    </w:rPr>
  </w:style>
  <w:style w:type="paragraph" w:customStyle="1" w:styleId="125">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 TDoc</Template>
  <Company>Nokia</Company>
  <Pages>5</Pages>
  <Words>1097</Words>
  <Characters>6259</Characters>
  <Lines>52</Lines>
  <Paragraphs>14</Paragraphs>
  <TotalTime>2</TotalTime>
  <ScaleCrop>false</ScaleCrop>
  <LinksUpToDate>false</LinksUpToDate>
  <CharactersWithSpaces>7342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2024-04-05T06:15:00Z</dcterms:created>
  <dc:creator>Nokia</dc:creator>
  <cp:lastModifiedBy>Sashiganth M</cp:lastModifiedBy>
  <cp:lastPrinted>2011-08-11T13:08:00Z</cp:lastPrinted>
  <dcterms:modified xsi:type="dcterms:W3CDTF">2025-11-07T05:57:46Z</dcterms:modified>
  <dc:title>3GPP Contribution</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KSOProductBuildVer">
    <vt:lpwstr>1033-12.2.0.23155</vt:lpwstr>
  </property>
  <property fmtid="{D5CDD505-2E9C-101B-9397-08002B2CF9AE}" pid="4" name="ICV">
    <vt:lpwstr>C7826A0A9B8447C0866B4850AF4C33DD_13</vt:lpwstr>
  </property>
</Properties>
</file>